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856" w:rsidRPr="0077129A" w:rsidRDefault="00276C2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7129A">
        <w:rPr>
          <w:rFonts w:ascii="Arial" w:hAnsi="Arial" w:cs="Arial"/>
          <w:b/>
          <w:sz w:val="24"/>
          <w:szCs w:val="24"/>
        </w:rPr>
        <w:t>CU2M2 Cash Flow Worksheet</w:t>
      </w:r>
    </w:p>
    <w:p w:rsidR="00276C2D" w:rsidRPr="00607CD5" w:rsidRDefault="00276C2D">
      <w:pPr>
        <w:rPr>
          <w:rFonts w:ascii="Arial" w:hAnsi="Arial" w:cs="Arial"/>
        </w:rPr>
      </w:pPr>
      <w:r w:rsidRPr="00607CD5">
        <w:rPr>
          <w:rFonts w:ascii="Arial" w:hAnsi="Arial" w:cs="Arial"/>
        </w:rPr>
        <w:t xml:space="preserve">A </w:t>
      </w:r>
      <w:r w:rsidR="00976EE7" w:rsidRPr="00607CD5">
        <w:rPr>
          <w:rFonts w:ascii="Arial" w:hAnsi="Arial" w:cs="Arial"/>
          <w:b/>
        </w:rPr>
        <w:t>Cash Flow Worksheet</w:t>
      </w:r>
      <w:r w:rsidR="00976EE7" w:rsidRPr="00607CD5">
        <w:rPr>
          <w:rFonts w:ascii="Arial" w:hAnsi="Arial" w:cs="Arial"/>
        </w:rPr>
        <w:t xml:space="preserve"> </w:t>
      </w:r>
      <w:r w:rsidRPr="00607CD5">
        <w:rPr>
          <w:rFonts w:ascii="Arial" w:hAnsi="Arial" w:cs="Arial"/>
        </w:rPr>
        <w:t>is a simple way to keep track of the cash inflows and outflows of a business. The worksheet lists where the funds coming into the business are from, and where funds leaving the business go.</w:t>
      </w:r>
      <w:r w:rsidR="00976EE7" w:rsidRPr="00607CD5">
        <w:rPr>
          <w:rFonts w:ascii="Arial" w:hAnsi="Arial" w:cs="Arial"/>
        </w:rPr>
        <w:t xml:space="preserve"> The purpose of the cash flow worksheet is to determine how much money a business </w:t>
      </w:r>
      <w:r w:rsidR="00C5123D" w:rsidRPr="00607CD5">
        <w:rPr>
          <w:rFonts w:ascii="Arial" w:hAnsi="Arial" w:cs="Arial"/>
        </w:rPr>
        <w:t xml:space="preserve">has </w:t>
      </w:r>
      <w:r w:rsidR="00B4291C" w:rsidRPr="00607CD5">
        <w:rPr>
          <w:rFonts w:ascii="Arial" w:hAnsi="Arial" w:cs="Arial"/>
        </w:rPr>
        <w:t>for</w:t>
      </w:r>
      <w:r w:rsidR="00C5123D" w:rsidRPr="00607CD5">
        <w:rPr>
          <w:rFonts w:ascii="Arial" w:hAnsi="Arial" w:cs="Arial"/>
        </w:rPr>
        <w:t xml:space="preserve"> current expense</w:t>
      </w:r>
      <w:r w:rsidR="00B4291C" w:rsidRPr="00607CD5">
        <w:rPr>
          <w:rFonts w:ascii="Arial" w:hAnsi="Arial" w:cs="Arial"/>
        </w:rPr>
        <w:t>s</w:t>
      </w:r>
      <w:r w:rsidR="00C5123D" w:rsidRPr="00607CD5">
        <w:rPr>
          <w:rFonts w:ascii="Arial" w:hAnsi="Arial" w:cs="Arial"/>
        </w:rPr>
        <w:t xml:space="preserve">. </w:t>
      </w:r>
    </w:p>
    <w:p w:rsidR="00AE73E0" w:rsidRPr="00607CD5" w:rsidRDefault="00AE73E0">
      <w:pPr>
        <w:rPr>
          <w:rFonts w:ascii="Arial" w:hAnsi="Arial" w:cs="Arial"/>
        </w:rPr>
      </w:pPr>
      <w:r w:rsidRPr="00607CD5">
        <w:rPr>
          <w:rFonts w:ascii="Arial" w:hAnsi="Arial" w:cs="Arial"/>
        </w:rPr>
        <w:t>The worksheet</w:t>
      </w:r>
      <w:r w:rsidR="001045A7">
        <w:rPr>
          <w:rFonts w:ascii="Arial" w:hAnsi="Arial" w:cs="Arial"/>
        </w:rPr>
        <w:t xml:space="preserve"> is commonly formatted to record</w:t>
      </w:r>
      <w:r w:rsidRPr="00607CD5">
        <w:rPr>
          <w:rFonts w:ascii="Arial" w:hAnsi="Arial" w:cs="Arial"/>
        </w:rPr>
        <w:t xml:space="preserve"> cash transaction</w:t>
      </w:r>
      <w:r w:rsidR="001045A7">
        <w:rPr>
          <w:rFonts w:ascii="Arial" w:hAnsi="Arial" w:cs="Arial"/>
        </w:rPr>
        <w:t>s</w:t>
      </w:r>
      <w:r w:rsidRPr="00607CD5">
        <w:rPr>
          <w:rFonts w:ascii="Arial" w:hAnsi="Arial" w:cs="Arial"/>
        </w:rPr>
        <w:t xml:space="preserve"> monthly. Because this is a working document, and not a formal financial statement, there is some variation in the format of the worksheet from business to business. </w:t>
      </w:r>
      <w:r w:rsidR="00DC25FE" w:rsidRPr="00607CD5">
        <w:rPr>
          <w:rFonts w:ascii="Arial" w:hAnsi="Arial" w:cs="Arial"/>
        </w:rPr>
        <w:t>Standard components of the worksheet are:</w:t>
      </w:r>
    </w:p>
    <w:p w:rsidR="00DC25FE" w:rsidRPr="00607CD5" w:rsidRDefault="00DC25FE">
      <w:pPr>
        <w:rPr>
          <w:rFonts w:ascii="Arial" w:hAnsi="Arial" w:cs="Arial"/>
        </w:rPr>
      </w:pPr>
    </w:p>
    <w:p w:rsidR="00DC25FE" w:rsidRPr="00607CD5" w:rsidRDefault="00DC25FE" w:rsidP="00C5123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 xml:space="preserve">The </w:t>
      </w:r>
      <w:r w:rsidRPr="00607CD5">
        <w:rPr>
          <w:rFonts w:ascii="Arial" w:hAnsi="Arial" w:cs="Arial"/>
          <w:b/>
        </w:rPr>
        <w:t>Beginning Cash Balance.</w:t>
      </w:r>
    </w:p>
    <w:p w:rsidR="00276C2D" w:rsidRPr="00607CD5" w:rsidRDefault="00276C2D" w:rsidP="00C5123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 xml:space="preserve">The </w:t>
      </w:r>
      <w:r w:rsidR="00DC25FE" w:rsidRPr="00607CD5">
        <w:rPr>
          <w:rFonts w:ascii="Arial" w:hAnsi="Arial" w:cs="Arial"/>
          <w:b/>
        </w:rPr>
        <w:t>Cash In</w:t>
      </w:r>
      <w:r w:rsidR="001E7BF1">
        <w:rPr>
          <w:rFonts w:ascii="Arial" w:hAnsi="Arial" w:cs="Arial"/>
          <w:b/>
        </w:rPr>
        <w:t>flows</w:t>
      </w:r>
      <w:r w:rsidRPr="00607CD5">
        <w:rPr>
          <w:rFonts w:ascii="Arial" w:hAnsi="Arial" w:cs="Arial"/>
        </w:rPr>
        <w:t xml:space="preserve"> or </w:t>
      </w:r>
      <w:r w:rsidR="00DC25FE" w:rsidRPr="00607CD5">
        <w:rPr>
          <w:rFonts w:ascii="Arial" w:hAnsi="Arial" w:cs="Arial"/>
          <w:b/>
        </w:rPr>
        <w:t>Cash Receipts</w:t>
      </w:r>
      <w:r w:rsidRPr="00607CD5">
        <w:rPr>
          <w:rFonts w:ascii="Arial" w:hAnsi="Arial" w:cs="Arial"/>
        </w:rPr>
        <w:t xml:space="preserve"> section of the worksheet</w:t>
      </w:r>
      <w:r w:rsidR="00DC25FE" w:rsidRPr="00607CD5">
        <w:rPr>
          <w:rFonts w:ascii="Arial" w:hAnsi="Arial" w:cs="Arial"/>
        </w:rPr>
        <w:t>, which</w:t>
      </w:r>
      <w:r w:rsidRPr="00607CD5">
        <w:rPr>
          <w:rFonts w:ascii="Arial" w:hAnsi="Arial" w:cs="Arial"/>
        </w:rPr>
        <w:t xml:space="preserve"> records money received from:</w:t>
      </w:r>
    </w:p>
    <w:p w:rsidR="00276C2D" w:rsidRPr="00607CD5" w:rsidRDefault="00276C2D" w:rsidP="00C5123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Cash sales</w:t>
      </w:r>
    </w:p>
    <w:p w:rsidR="00276C2D" w:rsidRPr="00607CD5" w:rsidRDefault="00276C2D" w:rsidP="00C5123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Accounts receivable collections</w:t>
      </w:r>
    </w:p>
    <w:p w:rsidR="00DC25FE" w:rsidRDefault="00276C2D" w:rsidP="005B141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E7BF1">
        <w:rPr>
          <w:rFonts w:ascii="Arial" w:hAnsi="Arial" w:cs="Arial"/>
        </w:rPr>
        <w:t xml:space="preserve">The </w:t>
      </w:r>
      <w:r w:rsidR="00DC25FE" w:rsidRPr="001E7BF1">
        <w:rPr>
          <w:rFonts w:ascii="Arial" w:hAnsi="Arial" w:cs="Arial"/>
          <w:b/>
        </w:rPr>
        <w:t>Cash Out</w:t>
      </w:r>
      <w:r w:rsidR="001E7BF1">
        <w:rPr>
          <w:rFonts w:ascii="Arial" w:hAnsi="Arial" w:cs="Arial"/>
          <w:b/>
        </w:rPr>
        <w:t>flows</w:t>
      </w:r>
      <w:r w:rsidRPr="001E7BF1">
        <w:rPr>
          <w:rFonts w:ascii="Arial" w:hAnsi="Arial" w:cs="Arial"/>
        </w:rPr>
        <w:t xml:space="preserve"> or </w:t>
      </w:r>
      <w:r w:rsidR="00DC25FE" w:rsidRPr="001E7BF1">
        <w:rPr>
          <w:rFonts w:ascii="Arial" w:hAnsi="Arial" w:cs="Arial"/>
          <w:b/>
        </w:rPr>
        <w:t>Cash Paid Out</w:t>
      </w:r>
      <w:r w:rsidRPr="001E7BF1">
        <w:rPr>
          <w:rFonts w:ascii="Arial" w:hAnsi="Arial" w:cs="Arial"/>
        </w:rPr>
        <w:t xml:space="preserve"> section of the worksheet</w:t>
      </w:r>
      <w:r w:rsidR="00DC25FE" w:rsidRPr="001E7BF1">
        <w:rPr>
          <w:rFonts w:ascii="Arial" w:hAnsi="Arial" w:cs="Arial"/>
        </w:rPr>
        <w:t>, which</w:t>
      </w:r>
      <w:r w:rsidRPr="001E7BF1">
        <w:rPr>
          <w:rFonts w:ascii="Arial" w:hAnsi="Arial" w:cs="Arial"/>
        </w:rPr>
        <w:t xml:space="preserve"> records the company’s expenses</w:t>
      </w:r>
    </w:p>
    <w:p w:rsidR="00DC25FE" w:rsidRPr="00607CD5" w:rsidRDefault="00DC25FE" w:rsidP="00C5123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 xml:space="preserve">The </w:t>
      </w:r>
      <w:r w:rsidRPr="00607CD5">
        <w:rPr>
          <w:rFonts w:ascii="Arial" w:hAnsi="Arial" w:cs="Arial"/>
          <w:b/>
        </w:rPr>
        <w:t>Ending Cash Balance</w:t>
      </w:r>
      <w:r w:rsidRPr="00607CD5">
        <w:rPr>
          <w:rFonts w:ascii="Arial" w:hAnsi="Arial" w:cs="Arial"/>
        </w:rPr>
        <w:t>.</w:t>
      </w:r>
    </w:p>
    <w:p w:rsidR="00C5123D" w:rsidRPr="00607CD5" w:rsidRDefault="00C5123D">
      <w:pPr>
        <w:rPr>
          <w:rFonts w:ascii="Arial" w:hAnsi="Arial" w:cs="Arial"/>
        </w:rPr>
      </w:pPr>
    </w:p>
    <w:p w:rsidR="00C5123D" w:rsidRPr="00607CD5" w:rsidRDefault="00C5123D">
      <w:pPr>
        <w:rPr>
          <w:rFonts w:ascii="Arial" w:hAnsi="Arial" w:cs="Arial"/>
        </w:rPr>
      </w:pPr>
      <w:r w:rsidRPr="00607CD5">
        <w:rPr>
          <w:rFonts w:ascii="Arial" w:hAnsi="Arial" w:cs="Arial"/>
        </w:rPr>
        <w:t>It is important to remember the worksheet record</w:t>
      </w:r>
      <w:r w:rsidR="0077129A">
        <w:rPr>
          <w:rFonts w:ascii="Arial" w:hAnsi="Arial" w:cs="Arial"/>
        </w:rPr>
        <w:t>s</w:t>
      </w:r>
      <w:r w:rsidRPr="00607CD5">
        <w:rPr>
          <w:rFonts w:ascii="Arial" w:hAnsi="Arial" w:cs="Arial"/>
        </w:rPr>
        <w:t xml:space="preserve"> only </w:t>
      </w:r>
      <w:r w:rsidR="00AC22F2" w:rsidRPr="00607CD5">
        <w:rPr>
          <w:rFonts w:ascii="Arial" w:hAnsi="Arial" w:cs="Arial"/>
        </w:rPr>
        <w:t>cash</w:t>
      </w:r>
      <w:r w:rsidRPr="00607CD5">
        <w:rPr>
          <w:rFonts w:ascii="Arial" w:hAnsi="Arial" w:cs="Arial"/>
        </w:rPr>
        <w:t xml:space="preserve"> transactions.</w:t>
      </w:r>
    </w:p>
    <w:p w:rsidR="00C5123D" w:rsidRPr="00607CD5" w:rsidRDefault="00C5123D">
      <w:pPr>
        <w:rPr>
          <w:rFonts w:ascii="Arial" w:hAnsi="Arial" w:cs="Arial"/>
          <w:b/>
        </w:rPr>
      </w:pPr>
      <w:r w:rsidRPr="00607CD5">
        <w:rPr>
          <w:rFonts w:ascii="Arial" w:hAnsi="Arial" w:cs="Arial"/>
          <w:b/>
        </w:rPr>
        <w:t>What counts as cash?</w:t>
      </w:r>
    </w:p>
    <w:p w:rsidR="00C5123D" w:rsidRPr="00607CD5" w:rsidRDefault="00C5123D" w:rsidP="0094152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Cash and checks received – cash in</w:t>
      </w:r>
    </w:p>
    <w:p w:rsidR="00C5123D" w:rsidRPr="00607CD5" w:rsidRDefault="00C5123D" w:rsidP="0094152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Credit card purchases you make – cash out</w:t>
      </w:r>
    </w:p>
    <w:p w:rsidR="00C5123D" w:rsidRPr="00607CD5" w:rsidRDefault="00C5123D" w:rsidP="0094152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Down payments or installment payments you make – cash out</w:t>
      </w:r>
    </w:p>
    <w:p w:rsidR="00C5123D" w:rsidRPr="00607CD5" w:rsidRDefault="00C5123D" w:rsidP="0094152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Prepaid payments – cash out</w:t>
      </w:r>
      <w:r w:rsidR="00AC22F2" w:rsidRPr="00607CD5">
        <w:rPr>
          <w:rFonts w:ascii="Arial" w:hAnsi="Arial" w:cs="Arial"/>
        </w:rPr>
        <w:t xml:space="preserve"> at time paid, even if the expense is prorated as a monthly expense on the Income Statement</w:t>
      </w:r>
    </w:p>
    <w:p w:rsidR="00AC22F2" w:rsidRPr="00607CD5" w:rsidRDefault="00AC22F2" w:rsidP="0094152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Tax obligation – cash out when incurred, although they may be paid quarterly or annually</w:t>
      </w:r>
    </w:p>
    <w:p w:rsidR="00AC22F2" w:rsidRPr="00607CD5" w:rsidRDefault="00AC22F2">
      <w:pPr>
        <w:rPr>
          <w:rFonts w:ascii="Arial" w:hAnsi="Arial" w:cs="Arial"/>
          <w:b/>
        </w:rPr>
      </w:pPr>
      <w:r w:rsidRPr="00607CD5">
        <w:rPr>
          <w:rFonts w:ascii="Arial" w:hAnsi="Arial" w:cs="Arial"/>
          <w:b/>
        </w:rPr>
        <w:t>What is not counted as cash?</w:t>
      </w:r>
    </w:p>
    <w:p w:rsidR="00AC22F2" w:rsidRPr="00607CD5" w:rsidRDefault="00AC22F2" w:rsidP="0094152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Uncollected invoices</w:t>
      </w:r>
    </w:p>
    <w:p w:rsidR="00AC22F2" w:rsidRPr="00607CD5" w:rsidRDefault="00AC22F2" w:rsidP="0094152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Credit card purchases by customers – the money isn’t cash until the credit card company pays you</w:t>
      </w:r>
    </w:p>
    <w:p w:rsidR="00AC22F2" w:rsidRDefault="00AC22F2" w:rsidP="0094152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607CD5">
        <w:rPr>
          <w:rFonts w:ascii="Arial" w:hAnsi="Arial" w:cs="Arial"/>
        </w:rPr>
        <w:t>Depreciation and amortization – these are Income Statement expenses only</w:t>
      </w:r>
    </w:p>
    <w:p w:rsidR="0077129A" w:rsidRDefault="0077129A">
      <w:pPr>
        <w:rPr>
          <w:rFonts w:ascii="Arial" w:hAnsi="Arial" w:cs="Arial"/>
        </w:rPr>
      </w:pPr>
    </w:p>
    <w:p w:rsidR="0077129A" w:rsidRDefault="0077129A">
      <w:pPr>
        <w:rPr>
          <w:rFonts w:ascii="Arial" w:hAnsi="Arial" w:cs="Arial"/>
          <w:b/>
        </w:rPr>
      </w:pPr>
      <w:r w:rsidRPr="0077129A">
        <w:rPr>
          <w:rFonts w:ascii="Arial" w:hAnsi="Arial" w:cs="Arial"/>
          <w:b/>
        </w:rPr>
        <w:t>Projecting cash flow</w:t>
      </w:r>
    </w:p>
    <w:p w:rsidR="007228F3" w:rsidRPr="0077129A" w:rsidRDefault="0077129A">
      <w:pPr>
        <w:rPr>
          <w:rFonts w:ascii="Arial" w:hAnsi="Arial" w:cs="Arial"/>
        </w:rPr>
      </w:pPr>
      <w:r w:rsidRPr="0077129A">
        <w:rPr>
          <w:rFonts w:ascii="Arial" w:hAnsi="Arial" w:cs="Arial"/>
        </w:rPr>
        <w:t>The cash flow worksheet</w:t>
      </w:r>
      <w:r>
        <w:rPr>
          <w:rFonts w:ascii="Arial" w:hAnsi="Arial" w:cs="Arial"/>
        </w:rPr>
        <w:t xml:space="preserve"> is often used to project cash flow for an upcoming business cycle. For example, by adding additional months (columns to the right) in the </w:t>
      </w:r>
      <w:r w:rsidR="001045A7">
        <w:rPr>
          <w:rFonts w:ascii="Arial" w:hAnsi="Arial" w:cs="Arial"/>
        </w:rPr>
        <w:t xml:space="preserve">following </w:t>
      </w:r>
      <w:r>
        <w:rPr>
          <w:rFonts w:ascii="Arial" w:hAnsi="Arial" w:cs="Arial"/>
        </w:rPr>
        <w:t>example format, a projection for the entire year 20XX can be developed.</w:t>
      </w:r>
      <w:r w:rsidR="007228F3" w:rsidRPr="0077129A">
        <w:rPr>
          <w:rFonts w:ascii="Arial" w:hAnsi="Arial" w:cs="Arial"/>
        </w:rPr>
        <w:br w:type="page"/>
      </w:r>
    </w:p>
    <w:tbl>
      <w:tblPr>
        <w:tblW w:w="7792" w:type="dxa"/>
        <w:tblLook w:val="04A0" w:firstRow="1" w:lastRow="0" w:firstColumn="1" w:lastColumn="0" w:noHBand="0" w:noVBand="1"/>
      </w:tblPr>
      <w:tblGrid>
        <w:gridCol w:w="630"/>
        <w:gridCol w:w="5202"/>
        <w:gridCol w:w="1960"/>
      </w:tblGrid>
      <w:tr w:rsidR="00C07737" w:rsidRPr="00C07737" w:rsidTr="00324784">
        <w:trPr>
          <w:trHeight w:val="300"/>
        </w:trPr>
        <w:tc>
          <w:tcPr>
            <w:tcW w:w="5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CASH FLOW WORKSHEET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</w:tr>
      <w:tr w:rsidR="00C07737" w:rsidRPr="00C07737" w:rsidTr="00324784">
        <w:trPr>
          <w:trHeight w:val="300"/>
        </w:trPr>
        <w:tc>
          <w:tcPr>
            <w:tcW w:w="58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Sample Company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07737" w:rsidRPr="00C07737" w:rsidTr="00324784">
        <w:trPr>
          <w:trHeight w:val="300"/>
        </w:trPr>
        <w:tc>
          <w:tcPr>
            <w:tcW w:w="58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January 20XX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07737" w:rsidRPr="00C07737" w:rsidTr="00324784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C07737" w:rsidRPr="00C07737" w:rsidTr="00C8597A">
        <w:trPr>
          <w:trHeight w:val="144"/>
        </w:trPr>
        <w:tc>
          <w:tcPr>
            <w:tcW w:w="58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Beginning Cash Balance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vAlign w:val="bottom"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$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58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Cash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In</w:t>
            </w: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flows (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Income</w:t>
            </w: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):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7737">
              <w:rPr>
                <w:rFonts w:ascii="Arial" w:eastAsia="Times New Roman" w:hAnsi="Arial" w:cs="Arial"/>
              </w:rPr>
              <w:t>Accounts Receivable Collections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7737">
              <w:rPr>
                <w:rFonts w:ascii="Arial" w:eastAsia="Times New Roman" w:hAnsi="Arial" w:cs="Arial"/>
              </w:rPr>
              <w:t>Loan Proceeds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7737">
              <w:rPr>
                <w:rFonts w:ascii="Arial" w:eastAsia="Times New Roman" w:hAnsi="Arial" w:cs="Arial"/>
              </w:rPr>
              <w:t>Cash sales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07737">
              <w:rPr>
                <w:rFonts w:ascii="Arial" w:eastAsia="Times New Roman" w:hAnsi="Arial" w:cs="Arial"/>
              </w:rPr>
              <w:t>Other: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Total Cash Inflows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0773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07737">
        <w:trPr>
          <w:trHeight w:val="300"/>
        </w:trPr>
        <w:tc>
          <w:tcPr>
            <w:tcW w:w="58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Cash Outflows (Expenses):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Advertising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Bank Service Charges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Insurance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Interest</w:t>
            </w:r>
            <w:r w:rsidR="00D2091D">
              <w:rPr>
                <w:rFonts w:ascii="Arial" w:eastAsia="Times New Roman" w:hAnsi="Arial" w:cs="Arial"/>
                <w:color w:val="000000"/>
              </w:rPr>
              <w:t xml:space="preserve"> on Loans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Inventory Purchases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Miscellaneous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Office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Maintenance &amp; Repairs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Payroll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Payroll Taxes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Professional Fees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Rent or Lease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Supplies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8597A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Taxes &amp; Licenses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7707DF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Utilities &amp; Telephone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7707DF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Other: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0773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Subtotal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07737">
        <w:trPr>
          <w:trHeight w:val="300"/>
        </w:trPr>
        <w:tc>
          <w:tcPr>
            <w:tcW w:w="58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Other Cash Out Flows: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7707DF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Capital Purchases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7707DF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Loan Principal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7707DF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Owner's Draw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7707DF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Other: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0773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Subtotal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0773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Total Cash Outflows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07737">
        <w:trPr>
          <w:trHeight w:val="3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pct75" w:color="FFFFFF" w:fill="FFFFFF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C07737" w:rsidRPr="00C07737" w:rsidTr="00C07737">
        <w:trPr>
          <w:trHeight w:val="300"/>
        </w:trPr>
        <w:tc>
          <w:tcPr>
            <w:tcW w:w="58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07737">
              <w:rPr>
                <w:rFonts w:ascii="Arial" w:eastAsia="Times New Roman" w:hAnsi="Arial" w:cs="Arial"/>
                <w:b/>
                <w:bCs/>
                <w:color w:val="000000"/>
              </w:rPr>
              <w:t>Ending Cash Balance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737" w:rsidRPr="00C07737" w:rsidRDefault="00C07737" w:rsidP="00C0773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0773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</w:tbl>
    <w:p w:rsidR="00AC22F2" w:rsidRPr="00607CD5" w:rsidRDefault="00AC22F2" w:rsidP="007228F3">
      <w:pPr>
        <w:rPr>
          <w:rFonts w:ascii="Arial" w:hAnsi="Arial" w:cs="Arial"/>
        </w:rPr>
      </w:pPr>
    </w:p>
    <w:sectPr w:rsidR="00AC22F2" w:rsidRPr="00607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C0A68"/>
    <w:multiLevelType w:val="hybridMultilevel"/>
    <w:tmpl w:val="C8B44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808AC"/>
    <w:multiLevelType w:val="hybridMultilevel"/>
    <w:tmpl w:val="B8728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46748"/>
    <w:multiLevelType w:val="hybridMultilevel"/>
    <w:tmpl w:val="F11AF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171"/>
    <w:rsid w:val="001045A7"/>
    <w:rsid w:val="001E7BF1"/>
    <w:rsid w:val="00276C2D"/>
    <w:rsid w:val="0029463B"/>
    <w:rsid w:val="00324784"/>
    <w:rsid w:val="003E0171"/>
    <w:rsid w:val="00607CD5"/>
    <w:rsid w:val="007228F3"/>
    <w:rsid w:val="00733A84"/>
    <w:rsid w:val="00744130"/>
    <w:rsid w:val="007707DF"/>
    <w:rsid w:val="0077129A"/>
    <w:rsid w:val="0094152E"/>
    <w:rsid w:val="00976EE7"/>
    <w:rsid w:val="00AC22F2"/>
    <w:rsid w:val="00AE73E0"/>
    <w:rsid w:val="00B4291C"/>
    <w:rsid w:val="00B94814"/>
    <w:rsid w:val="00C07737"/>
    <w:rsid w:val="00C5123D"/>
    <w:rsid w:val="00C8597A"/>
    <w:rsid w:val="00CA1C98"/>
    <w:rsid w:val="00D041DB"/>
    <w:rsid w:val="00D2091D"/>
    <w:rsid w:val="00DC25FE"/>
    <w:rsid w:val="00E2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CEAB9B-5F78-4D73-9CE2-7FA0F368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23D"/>
    <w:pPr>
      <w:ind w:left="720"/>
      <w:contextualSpacing/>
    </w:pPr>
  </w:style>
  <w:style w:type="table" w:styleId="TableGrid">
    <w:name w:val="Table Grid"/>
    <w:basedOn w:val="TableNormal"/>
    <w:uiPriority w:val="39"/>
    <w:rsid w:val="00607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4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71725-D06B-4A2E-9940-A1888C18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Charissa Stone</cp:lastModifiedBy>
  <cp:revision>2</cp:revision>
  <dcterms:created xsi:type="dcterms:W3CDTF">2017-02-07T22:31:00Z</dcterms:created>
  <dcterms:modified xsi:type="dcterms:W3CDTF">2017-02-07T22:31:00Z</dcterms:modified>
</cp:coreProperties>
</file>