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bookmarkStart w:id="0" w:name="_GoBack"/>
      <w:bookmarkEnd w:id="0"/>
      <w:r>
        <w:rPr>
          <w:b/>
          <w:color w:val="000000"/>
        </w:rPr>
        <w:t>Course Syllabus – Group Piano</w:t>
      </w:r>
    </w:p>
    <w:p w14:paraId="00000002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MUS 131 (1 credit) </w:t>
      </w:r>
    </w:p>
    <w:p w14:paraId="00000003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 xml:space="preserve">Instructor: </w:t>
      </w:r>
      <w:r>
        <w:rPr>
          <w:color w:val="000000"/>
        </w:rPr>
        <w:t>Craig Hanson </w:t>
      </w:r>
    </w:p>
    <w:p w14:paraId="00000004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>541-908-4477 </w:t>
      </w:r>
    </w:p>
    <w:p w14:paraId="00000005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433FF"/>
        </w:rPr>
      </w:pPr>
      <w:r>
        <w:rPr>
          <w:color w:val="0433FF"/>
        </w:rPr>
        <w:t>hansonc@linnbenton.edu </w:t>
      </w:r>
    </w:p>
    <w:p w14:paraId="00000006" w14:textId="77777777" w:rsidR="00115502" w:rsidRDefault="0011550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07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Text: </w:t>
      </w:r>
    </w:p>
    <w:p w14:paraId="00000008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  <w:t>Elyse Mach, Contemporary Class Piano, 8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edition. This textbook will be used for the entire </w:t>
      </w:r>
      <w:proofErr w:type="gramStart"/>
      <w:r>
        <w:rPr>
          <w:color w:val="000000"/>
        </w:rPr>
        <w:t>6 term</w:t>
      </w:r>
      <w:proofErr w:type="gramEnd"/>
      <w:r>
        <w:rPr>
          <w:color w:val="000000"/>
        </w:rPr>
        <w:t xml:space="preserve"> sequence of this course. </w:t>
      </w:r>
    </w:p>
    <w:p w14:paraId="00000009" w14:textId="77777777" w:rsidR="00115502" w:rsidRDefault="0011550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</w:p>
    <w:p w14:paraId="0000000A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General Description: </w:t>
      </w:r>
    </w:p>
    <w:p w14:paraId="0000000B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 xml:space="preserve">Lessons are 50 minutes in length and are taught bi-weekly in the piano lab in SSH120, using a state-of the art educational system by Roland. They </w:t>
      </w:r>
      <w:proofErr w:type="gramStart"/>
      <w:r>
        <w:rPr>
          <w:color w:val="000000"/>
        </w:rPr>
        <w:t>are designed</w:t>
      </w:r>
      <w:proofErr w:type="gramEnd"/>
      <w:r>
        <w:rPr>
          <w:color w:val="000000"/>
        </w:rPr>
        <w:t xml:space="preserve"> to build technical proficiency and increase repertoire while strengthening </w:t>
      </w:r>
      <w:r>
        <w:rPr>
          <w:color w:val="000000"/>
        </w:rPr>
        <w:t>knowledge of harmony, rhythm, form, sight-reading and music theory. </w:t>
      </w:r>
    </w:p>
    <w:p w14:paraId="0000000C" w14:textId="77777777" w:rsidR="00115502" w:rsidRDefault="0011550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0D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Student Learning Outcomes: </w:t>
      </w:r>
    </w:p>
    <w:p w14:paraId="0000000E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  <w:t>By the end of this course, a student will be able to: </w:t>
      </w:r>
    </w:p>
    <w:p w14:paraId="0000000F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1. Read and play piano repertoire appropriate for a beginning pianist. </w:t>
      </w:r>
    </w:p>
    <w:p w14:paraId="00000010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2. Demonstrate and play wi</w:t>
      </w:r>
      <w:r>
        <w:rPr>
          <w:color w:val="000000"/>
        </w:rPr>
        <w:t>th correct posture. </w:t>
      </w:r>
    </w:p>
    <w:p w14:paraId="00000011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3. Play with appropriate hand position and fingering technique for a beginning pianist. </w:t>
      </w:r>
    </w:p>
    <w:p w14:paraId="00000012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4. Apply basic music theory to performance appropriate for a beginning pianist. </w:t>
      </w:r>
    </w:p>
    <w:p w14:paraId="00000013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5. Perform with appropriate level of music expression for a beginning pianist. </w:t>
      </w:r>
    </w:p>
    <w:p w14:paraId="00000014" w14:textId="77777777" w:rsidR="00115502" w:rsidRDefault="0011550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15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Lesson Expectations: </w:t>
      </w:r>
    </w:p>
    <w:p w14:paraId="00000016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 xml:space="preserve">Students </w:t>
      </w:r>
      <w:proofErr w:type="gramStart"/>
      <w:r>
        <w:rPr>
          <w:color w:val="000000"/>
        </w:rPr>
        <w:t>are expected</w:t>
      </w:r>
      <w:proofErr w:type="gramEnd"/>
      <w:r>
        <w:rPr>
          <w:color w:val="000000"/>
        </w:rPr>
        <w:t xml:space="preserve"> to be punctual and to bring the textbook to each class. If the student becomes ill, has a family emergency, or needs to participate in an LBCC-sponsored event, they </w:t>
      </w:r>
      <w:proofErr w:type="gramStart"/>
      <w:r>
        <w:rPr>
          <w:color w:val="000000"/>
        </w:rPr>
        <w:t>are allowed</w:t>
      </w:r>
      <w:proofErr w:type="gramEnd"/>
      <w:r>
        <w:rPr>
          <w:color w:val="000000"/>
        </w:rPr>
        <w:t xml:space="preserve"> to miss class, however, only two such will be allowed per</w:t>
      </w:r>
      <w:r>
        <w:rPr>
          <w:color w:val="000000"/>
        </w:rPr>
        <w:t xml:space="preserve"> term. </w:t>
      </w:r>
    </w:p>
    <w:p w14:paraId="00000017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 xml:space="preserve">Students should work toward completion of assignments, mastery </w:t>
      </w:r>
      <w:proofErr w:type="gramStart"/>
      <w:r>
        <w:rPr>
          <w:color w:val="000000"/>
        </w:rPr>
        <w:t>of the material and to show visible progress each week</w:t>
      </w:r>
      <w:proofErr w:type="gramEnd"/>
      <w:r>
        <w:rPr>
          <w:color w:val="000000"/>
        </w:rPr>
        <w:t>. Students are expected to purchase the textbook in a timely manner from the LBCC bookstore, a local bookstore, or online. </w:t>
      </w:r>
    </w:p>
    <w:p w14:paraId="00000018" w14:textId="77777777" w:rsidR="00115502" w:rsidRDefault="0011550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19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Course</w:t>
      </w:r>
      <w:r>
        <w:rPr>
          <w:b/>
          <w:color w:val="000000"/>
        </w:rPr>
        <w:t xml:space="preserve"> Requirements: </w:t>
      </w:r>
    </w:p>
    <w:p w14:paraId="0000001A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3"/>
        <w:rPr>
          <w:color w:val="000000"/>
        </w:rPr>
      </w:pPr>
      <w:r>
        <w:rPr>
          <w:color w:val="000000"/>
        </w:rPr>
        <w:tab/>
      </w: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Attend all lessons. </w:t>
      </w:r>
    </w:p>
    <w:p w14:paraId="0000001B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3"/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Practice a minimum of 60 minutes per day. A written practice journal may be helpful but is not required. </w:t>
      </w:r>
    </w:p>
    <w:p w14:paraId="0000001C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3"/>
        <w:rPr>
          <w:color w:val="000000"/>
        </w:rPr>
      </w:pPr>
      <w:r>
        <w:rPr>
          <w:color w:val="000000"/>
        </w:rPr>
        <w:tab/>
      </w: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Complete</w:t>
      </w:r>
      <w:proofErr w:type="gramEnd"/>
      <w:r>
        <w:rPr>
          <w:color w:val="000000"/>
        </w:rPr>
        <w:t xml:space="preserve"> short and long term applied assignments as assigned by the instructor. </w:t>
      </w:r>
    </w:p>
    <w:p w14:paraId="0000001D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3"/>
        <w:rPr>
          <w:color w:val="000000"/>
        </w:rPr>
      </w:pPr>
      <w:r>
        <w:rPr>
          <w:color w:val="000000"/>
        </w:rPr>
        <w:tab/>
      </w: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Attend special events such as free concerts assigned by the instructor. </w:t>
      </w:r>
    </w:p>
    <w:p w14:paraId="0000001E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</w: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Complete listening and/or written assignments as assigned. </w:t>
      </w:r>
    </w:p>
    <w:p w14:paraId="0000001F" w14:textId="77777777" w:rsidR="00115502" w:rsidRDefault="0011550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</w:p>
    <w:p w14:paraId="00000020" w14:textId="77777777" w:rsidR="00115502" w:rsidRDefault="0011550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21" w14:textId="77777777" w:rsidR="00115502" w:rsidRDefault="0011550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22" w14:textId="77777777" w:rsidR="00115502" w:rsidRDefault="0011550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b/>
          <w:color w:val="000000"/>
        </w:rPr>
      </w:pPr>
    </w:p>
    <w:p w14:paraId="00000023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bookmarkStart w:id="1" w:name="_gjdgxs" w:colFirst="0" w:colLast="0"/>
      <w:bookmarkEnd w:id="1"/>
      <w:r>
        <w:rPr>
          <w:b/>
          <w:color w:val="000000"/>
        </w:rPr>
        <w:lastRenderedPageBreak/>
        <w:t>Evaluation/Grading: </w:t>
      </w:r>
    </w:p>
    <w:p w14:paraId="00000024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lesson grade average is 70% of the total grade. Your lowest lesson grade </w:t>
      </w:r>
      <w:proofErr w:type="gramStart"/>
      <w:r>
        <w:rPr>
          <w:color w:val="000000"/>
        </w:rPr>
        <w:t>will be dropped</w:t>
      </w:r>
      <w:proofErr w:type="gramEnd"/>
      <w:r>
        <w:rPr>
          <w:color w:val="000000"/>
        </w:rPr>
        <w:t xml:space="preserve"> when calculating your final grade. Weekly grades will be determined as follows: </w:t>
      </w:r>
    </w:p>
    <w:p w14:paraId="00000025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A: made significant progress in all assignments </w:t>
      </w:r>
    </w:p>
    <w:p w14:paraId="00000026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B: made some progress in all</w:t>
      </w:r>
      <w:r>
        <w:rPr>
          <w:color w:val="000000"/>
        </w:rPr>
        <w:t xml:space="preserve"> assignments </w:t>
      </w:r>
    </w:p>
    <w:p w14:paraId="00000027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C: made negligible progress in most assignments </w:t>
      </w:r>
    </w:p>
    <w:p w14:paraId="00000028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D: made no progress in assignments </w:t>
      </w:r>
    </w:p>
    <w:p w14:paraId="00000029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6"/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missed lesson will result in a “0” unless it has been excused in advance. One “0” will be dropped. </w:t>
      </w:r>
    </w:p>
    <w:p w14:paraId="0000002A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final will count for 30% of the grade. </w:t>
      </w:r>
    </w:p>
    <w:p w14:paraId="0000002B" w14:textId="77777777" w:rsidR="00115502" w:rsidRDefault="00115502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</w:p>
    <w:p w14:paraId="0000002C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b/>
          <w:color w:val="000000"/>
        </w:rPr>
        <w:t>Specific Competencies: </w:t>
      </w:r>
    </w:p>
    <w:p w14:paraId="0000002D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6"/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student should display the ability to perform standard piano literature appropriate to his or her level in various musical styles and from various periods of history. </w:t>
      </w:r>
    </w:p>
    <w:p w14:paraId="0000002E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</w: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student should demonstrate progressive mastery of the following areas: </w:t>
      </w:r>
    </w:p>
    <w:p w14:paraId="0000002F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Correct posture, finger, hand, arm position and movement </w:t>
      </w:r>
    </w:p>
    <w:p w14:paraId="00000030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The use of pedals </w:t>
      </w:r>
    </w:p>
    <w:p w14:paraId="00000031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Coordination of the two hands in both contrapuntal and homophonic textures </w:t>
      </w:r>
    </w:p>
    <w:p w14:paraId="00000032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Articulation and phrasing </w:t>
      </w:r>
    </w:p>
    <w:p w14:paraId="00000033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ind w:left="720"/>
        <w:rPr>
          <w:color w:val="000000"/>
        </w:rPr>
      </w:pPr>
      <w:r>
        <w:rPr>
          <w:color w:val="000000"/>
        </w:rPr>
        <w:t>Interpretation of written scores with regard to pitch, rhythm, dynamics, tempos, and expression marks </w:t>
      </w:r>
    </w:p>
    <w:p w14:paraId="00000034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Rhythmical patterns of increasing difficulty. </w:t>
      </w:r>
    </w:p>
    <w:p w14:paraId="00000035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2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Musical terminology </w:t>
      </w:r>
    </w:p>
    <w:p w14:paraId="00000036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Theory of harmony </w:t>
      </w:r>
    </w:p>
    <w:p w14:paraId="00000037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6"/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student should display the ability to execute major and minor scales, arpeggios, and various etudes. </w:t>
      </w:r>
    </w:p>
    <w:p w14:paraId="00000038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36"/>
        <w:rPr>
          <w:color w:val="000000"/>
        </w:rPr>
      </w:pPr>
      <w:r>
        <w:rPr>
          <w:color w:val="000000"/>
        </w:rPr>
        <w:tab/>
      </w: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student should develop the ability to sight-read. </w:t>
      </w:r>
    </w:p>
    <w:p w14:paraId="00000039" w14:textId="77777777" w:rsidR="00115502" w:rsidRDefault="00DD32DA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color w:val="000000"/>
        </w:rPr>
      </w:pPr>
      <w:r>
        <w:rPr>
          <w:rFonts w:ascii="Symbol" w:eastAsia="Symbol" w:hAnsi="Symbol" w:cs="Symbol"/>
          <w:color w:val="000000"/>
        </w:rPr>
        <w:t>∙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student should demonstrate an understanding of the elements of music as they relate t</w:t>
      </w:r>
      <w:r>
        <w:rPr>
          <w:color w:val="000000"/>
        </w:rPr>
        <w:t>o musical expression. </w:t>
      </w:r>
    </w:p>
    <w:p w14:paraId="0000003A" w14:textId="77777777" w:rsidR="00115502" w:rsidRDefault="00115502">
      <w:pPr>
        <w:tabs>
          <w:tab w:val="left" w:pos="360"/>
        </w:tabs>
      </w:pPr>
    </w:p>
    <w:p w14:paraId="0000003B" w14:textId="77777777" w:rsidR="00115502" w:rsidRDefault="00DD32DA">
      <w:pPr>
        <w:tabs>
          <w:tab w:val="left" w:pos="360"/>
        </w:tabs>
      </w:pPr>
      <w:r>
        <w:t xml:space="preserve">LBCC is committed to inclusiveness and equal access to higher education. </w:t>
      </w:r>
      <w:proofErr w:type="gramStart"/>
      <w:r>
        <w:t>If you have approved accommodations through the Center for Accessibility Resources (CFAR) and would like to use your accommodations in the class,</w:t>
      </w:r>
      <w:proofErr w:type="gramEnd"/>
      <w:r>
        <w:t xml:space="preserve"> please talk t</w:t>
      </w:r>
      <w:r>
        <w:t xml:space="preserve">o your instructor as soon as possible to discuss your needs. If you believe you may need accommodations but </w:t>
      </w:r>
      <w:proofErr w:type="gramStart"/>
      <w:r>
        <w:t>are not yet registered</w:t>
      </w:r>
      <w:proofErr w:type="gramEnd"/>
      <w:r>
        <w:t xml:space="preserve"> with CFAR, please visit the </w:t>
      </w:r>
      <w:hyperlink r:id="rId6">
        <w:r>
          <w:rPr>
            <w:color w:val="0563C1"/>
            <w:u w:val="single"/>
          </w:rPr>
          <w:t>CFAR Website</w:t>
        </w:r>
      </w:hyperlink>
      <w:r>
        <w:t xml:space="preserve"> for steps on how to apply for ser</w:t>
      </w:r>
      <w:r>
        <w:t xml:space="preserve">vices or call 541-917-4789.  </w:t>
      </w:r>
    </w:p>
    <w:p w14:paraId="0000003C" w14:textId="77777777" w:rsidR="00115502" w:rsidRDefault="00115502">
      <w:pPr>
        <w:tabs>
          <w:tab w:val="left" w:pos="360"/>
        </w:tabs>
      </w:pPr>
    </w:p>
    <w:p w14:paraId="0000003D" w14:textId="77777777" w:rsidR="00115502" w:rsidRDefault="00DD32DA">
      <w:pPr>
        <w:tabs>
          <w:tab w:val="left" w:pos="360"/>
        </w:tabs>
      </w:pPr>
      <w:proofErr w:type="gramStart"/>
      <w:r>
        <w:rPr>
          <w:b/>
          <w:u w:val="single"/>
        </w:rPr>
        <w:t>Basic Needs Statement:</w:t>
      </w:r>
      <w:r>
        <w:t xml:space="preserve"> Any student who has difficulty affording groceries or accessing sufficient food to eat every day, or who lacks a safe and stable place to live, and believes this may affect their performance in the cour</w:t>
      </w:r>
      <w:r>
        <w:t xml:space="preserve">se, is urged to contact the Single Stop Office for support (SinglestopatLBCC@linnbenton.edu , 541-917- 4877, or visit us on the web </w:t>
      </w:r>
      <w:hyperlink r:id="rId7">
        <w:r>
          <w:rPr>
            <w:color w:val="0563C1"/>
            <w:u w:val="single"/>
          </w:rPr>
          <w:t>www.linnbenton.edu</w:t>
        </w:r>
      </w:hyperlink>
      <w:r>
        <w:t xml:space="preserve"> under Student Support for Current Students).</w:t>
      </w:r>
      <w:proofErr w:type="gramEnd"/>
      <w:r>
        <w:t xml:space="preserve"> Our office can</w:t>
      </w:r>
      <w:r>
        <w:t xml:space="preserve"> help students </w:t>
      </w:r>
      <w:proofErr w:type="gramStart"/>
      <w:r>
        <w:t>get</w:t>
      </w:r>
      <w:proofErr w:type="gramEnd"/>
      <w:r>
        <w:t xml:space="preserve"> connected to resources to help. Furthermore, please notify the professor if you are comfortable in doing so. This will enable them to provide any resources that they may possess.</w:t>
      </w:r>
    </w:p>
    <w:sectPr w:rsidR="00115502">
      <w:footerReference w:type="even" r:id="rId8"/>
      <w:footerReference w:type="default" r:id="rId9"/>
      <w:footerReference w:type="first" r:id="rId10"/>
      <w:pgSz w:w="12240" w:h="15840"/>
      <w:pgMar w:top="1296" w:right="1080" w:bottom="1296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61BA9" w14:textId="77777777" w:rsidR="00000000" w:rsidRDefault="00DD32DA">
      <w:r>
        <w:separator/>
      </w:r>
    </w:p>
  </w:endnote>
  <w:endnote w:type="continuationSeparator" w:id="0">
    <w:p w14:paraId="69520FF1" w14:textId="77777777" w:rsidR="00000000" w:rsidRDefault="00DD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115502" w:rsidRDefault="00DD32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4" w14:textId="77777777" w:rsidR="00115502" w:rsidRDefault="00DD32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5" w14:textId="77777777" w:rsidR="00115502" w:rsidRDefault="00DD32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36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6" w14:textId="77777777" w:rsidR="00115502" w:rsidRDefault="001155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77777777" w:rsidR="00115502" w:rsidRDefault="00DD32DA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Course Syllabus – Group Piano - </w:t>
    </w:r>
    <w:r>
      <w:rPr>
        <w:i/>
        <w:color w:val="000000"/>
        <w:sz w:val="20"/>
        <w:szCs w:val="20"/>
      </w:rPr>
      <w:t xml:space="preserve">updated: Sep. 2018 </w:t>
    </w:r>
    <w:r>
      <w:rPr>
        <w:color w:val="000000"/>
        <w:sz w:val="20"/>
        <w:szCs w:val="20"/>
      </w:rPr>
      <w:t>p.2</w:t>
    </w:r>
  </w:p>
  <w:p w14:paraId="0000003F" w14:textId="77777777" w:rsidR="00115502" w:rsidRDefault="001155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0" w14:textId="77777777" w:rsidR="00115502" w:rsidRDefault="00DD32DA">
    <w:pPr>
      <w:pBdr>
        <w:top w:val="nil"/>
        <w:left w:val="nil"/>
        <w:bottom w:val="nil"/>
        <w:right w:val="nil"/>
        <w:between w:val="nil"/>
      </w:pBdr>
      <w:ind w:right="360" w:firstLine="36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Course Syllabus – Group Piano - </w:t>
    </w:r>
    <w:r>
      <w:rPr>
        <w:i/>
        <w:color w:val="000000"/>
        <w:sz w:val="20"/>
        <w:szCs w:val="20"/>
      </w:rPr>
      <w:t xml:space="preserve">updated: Sep. 2018 </w:t>
    </w:r>
    <w:r>
      <w:rPr>
        <w:color w:val="000000"/>
        <w:sz w:val="20"/>
        <w:szCs w:val="20"/>
      </w:rPr>
      <w:t>p.1</w:t>
    </w:r>
  </w:p>
  <w:p w14:paraId="00000041" w14:textId="77777777" w:rsidR="00115502" w:rsidRDefault="001155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  <w:p w14:paraId="00000042" w14:textId="77777777" w:rsidR="00115502" w:rsidRDefault="001155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3DA9F" w14:textId="77777777" w:rsidR="00000000" w:rsidRDefault="00DD32DA">
      <w:r>
        <w:separator/>
      </w:r>
    </w:p>
  </w:footnote>
  <w:footnote w:type="continuationSeparator" w:id="0">
    <w:p w14:paraId="5BFBEA70" w14:textId="77777777" w:rsidR="00000000" w:rsidRDefault="00DD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502"/>
    <w:rsid w:val="00115502"/>
    <w:rsid w:val="00D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C27D7-4796-4F7C-8182-C4D8BF89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innbenton.ed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nbenton.edu/cfa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Fortier</dc:creator>
  <cp:lastModifiedBy>Aleta K. Fortier</cp:lastModifiedBy>
  <cp:revision>2</cp:revision>
  <dcterms:created xsi:type="dcterms:W3CDTF">2019-04-26T17:25:00Z</dcterms:created>
  <dcterms:modified xsi:type="dcterms:W3CDTF">2019-04-26T17:25:00Z</dcterms:modified>
</cp:coreProperties>
</file>