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Oregon CDL Exam Preparation</w:t>
      </w:r>
    </w:p>
    <w:p w:rsidR="00000000" w:rsidDel="00000000" w:rsidP="00000000" w:rsidRDefault="00000000" w:rsidRPr="00000000" w14:paraId="00000002">
      <w:pPr>
        <w:spacing w:after="0" w:before="0" w:line="240" w:lineRule="auto"/>
        <w:rPr>
          <w:rFonts w:ascii="Arial" w:cs="Arial" w:eastAsia="Arial" w:hAnsi="Arial"/>
        </w:rPr>
      </w:pPr>
      <w:r w:rsidDel="00000000" w:rsidR="00000000" w:rsidRPr="00000000">
        <w:rPr>
          <w:rFonts w:ascii="Arial" w:cs="Arial" w:eastAsia="Arial" w:hAnsi="Arial"/>
          <w:rtl w:val="0"/>
        </w:rPr>
        <w:t xml:space="preserve">WW6.176 Spring 2020</w:t>
      </w:r>
    </w:p>
    <w:p w:rsidR="00000000" w:rsidDel="00000000" w:rsidP="00000000" w:rsidRDefault="00000000" w:rsidRPr="00000000" w14:paraId="00000003">
      <w:pPr>
        <w:spacing w:after="0" w:before="0" w:line="240" w:lineRule="auto"/>
        <w:rPr>
          <w:rFonts w:ascii="Arial" w:cs="Arial" w:eastAsia="Arial" w:hAnsi="Arial"/>
        </w:rPr>
      </w:pPr>
      <w:r w:rsidDel="00000000" w:rsidR="00000000" w:rsidRPr="00000000">
        <w:rPr>
          <w:rFonts w:ascii="Arial" w:cs="Arial" w:eastAsia="Arial" w:hAnsi="Arial"/>
          <w:rtl w:val="0"/>
        </w:rPr>
        <w:t xml:space="preserve">Instructor: Troy Kemper</w:t>
      </w:r>
    </w:p>
    <w:p w:rsidR="00000000" w:rsidDel="00000000" w:rsidP="00000000" w:rsidRDefault="00000000" w:rsidRPr="00000000" w14:paraId="00000004">
      <w:pPr>
        <w:spacing w:after="0" w:before="0" w:line="240" w:lineRule="auto"/>
        <w:rPr>
          <w:rFonts w:ascii="Arial" w:cs="Arial" w:eastAsia="Arial" w:hAnsi="Arial"/>
        </w:rPr>
      </w:pPr>
      <w:r w:rsidDel="00000000" w:rsidR="00000000" w:rsidRPr="00000000">
        <w:rPr>
          <w:rFonts w:ascii="Arial" w:cs="Arial" w:eastAsia="Arial" w:hAnsi="Arial"/>
          <w:rtl w:val="0"/>
        </w:rPr>
        <w:t xml:space="preserve">Office: IA 211, ext 4707</w:t>
      </w:r>
    </w:p>
    <w:p w:rsidR="00000000" w:rsidDel="00000000" w:rsidP="00000000" w:rsidRDefault="00000000" w:rsidRPr="00000000" w14:paraId="00000005">
      <w:pPr>
        <w:spacing w:after="0" w:before="0" w:line="240" w:lineRule="auto"/>
        <w:rPr>
          <w:rFonts w:ascii="Arial" w:cs="Arial" w:eastAsia="Arial" w:hAnsi="Arial"/>
        </w:rPr>
      </w:pPr>
      <w:r w:rsidDel="00000000" w:rsidR="00000000" w:rsidRPr="00000000">
        <w:rPr>
          <w:rFonts w:ascii="Arial" w:cs="Arial" w:eastAsia="Arial" w:hAnsi="Arial"/>
          <w:rtl w:val="0"/>
        </w:rPr>
        <w:t xml:space="preserve">Email: </w:t>
      </w:r>
      <w:hyperlink r:id="rId6">
        <w:r w:rsidDel="00000000" w:rsidR="00000000" w:rsidRPr="00000000">
          <w:rPr>
            <w:rFonts w:ascii="Arial" w:cs="Arial" w:eastAsia="Arial" w:hAnsi="Arial"/>
            <w:color w:val="1155cc"/>
            <w:u w:val="single"/>
            <w:rtl w:val="0"/>
          </w:rPr>
          <w:t xml:space="preserve">kempert@linnbenton.edu</w:t>
        </w:r>
      </w:hyperlink>
      <w:r w:rsidDel="00000000" w:rsidR="00000000" w:rsidRPr="00000000">
        <w:rPr>
          <w:rtl w:val="0"/>
        </w:rPr>
      </w:r>
    </w:p>
    <w:p w:rsidR="00000000" w:rsidDel="00000000" w:rsidP="00000000" w:rsidRDefault="00000000" w:rsidRPr="00000000" w14:paraId="00000006">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Course Description</w:t>
      </w:r>
    </w:p>
    <w:p w:rsidR="00000000" w:rsidDel="00000000" w:rsidP="00000000" w:rsidRDefault="00000000" w:rsidRPr="00000000" w14:paraId="00000009">
      <w:pPr>
        <w:spacing w:after="0" w:before="0" w:line="240" w:lineRule="auto"/>
        <w:rPr>
          <w:rFonts w:ascii="Arial" w:cs="Arial" w:eastAsia="Arial" w:hAnsi="Arial"/>
        </w:rPr>
      </w:pPr>
      <w:r w:rsidDel="00000000" w:rsidR="00000000" w:rsidRPr="00000000">
        <w:rPr>
          <w:rFonts w:ascii="Arial" w:cs="Arial" w:eastAsia="Arial" w:hAnsi="Arial"/>
          <w:rtl w:val="0"/>
        </w:rPr>
        <w:t xml:space="preserve">This course will prepare the student to successfully complete the CDL written exam.</w:t>
      </w:r>
    </w:p>
    <w:p w:rsidR="00000000" w:rsidDel="00000000" w:rsidP="00000000" w:rsidRDefault="00000000" w:rsidRPr="00000000" w14:paraId="0000000A">
      <w:pPr>
        <w:spacing w:after="0" w:before="0" w:line="240" w:lineRule="auto"/>
        <w:rPr>
          <w:rFonts w:ascii="Arial" w:cs="Arial" w:eastAsia="Arial" w:hAnsi="Arial"/>
        </w:rPr>
      </w:pPr>
      <w:r w:rsidDel="00000000" w:rsidR="00000000" w:rsidRPr="00000000">
        <w:rPr>
          <w:rFonts w:ascii="Arial" w:cs="Arial" w:eastAsia="Arial" w:hAnsi="Arial"/>
          <w:rtl w:val="0"/>
        </w:rPr>
        <w:t xml:space="preserve">To get a CDL in Oregon, you must pass knowledge and skills tests. Students also may need to pass additional tests, including drive tests, depending on the vehicles driven. This class will help you prepare for the written tests.</w:t>
      </w:r>
    </w:p>
    <w:p w:rsidR="00000000" w:rsidDel="00000000" w:rsidP="00000000" w:rsidRDefault="00000000" w:rsidRPr="00000000" w14:paraId="0000000B">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before="0" w:line="240" w:lineRule="auto"/>
        <w:rPr>
          <w:rFonts w:ascii="Arial" w:cs="Arial" w:eastAsia="Arial" w:hAnsi="Arial"/>
        </w:rPr>
      </w:pPr>
      <w:r w:rsidDel="00000000" w:rsidR="00000000" w:rsidRPr="00000000">
        <w:rPr>
          <w:rFonts w:ascii="Arial" w:cs="Arial" w:eastAsia="Arial" w:hAnsi="Arial"/>
          <w:rtl w:val="0"/>
        </w:rPr>
        <w:t xml:space="preserve">It is the responsibility of the student to schedule and pay to take the Oregon test. This course is required for the Water, Environment and Technology degree, the license is not.</w:t>
      </w:r>
    </w:p>
    <w:p w:rsidR="00000000" w:rsidDel="00000000" w:rsidP="00000000" w:rsidRDefault="00000000" w:rsidRPr="00000000" w14:paraId="0000000D">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before="0" w:line="24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This course will be entirely on-line although there will be two required face to face classes as scheduled below. A Moodle account is required.</w:t>
      </w:r>
      <w:r w:rsidDel="00000000" w:rsidR="00000000" w:rsidRPr="00000000">
        <w:rPr>
          <w:rFonts w:ascii="Arial" w:cs="Arial" w:eastAsia="Arial" w:hAnsi="Arial"/>
          <w:b w:val="1"/>
          <w:rtl w:val="0"/>
        </w:rPr>
        <w:t xml:space="preserve"> Each week a new test will be available at 8am Tuesday and the test must be completed by 7am of the next Tuesday, so Tuesday – Tuesday. Each quiz has a 2 hour time limit. </w:t>
      </w:r>
      <w:r w:rsidDel="00000000" w:rsidR="00000000" w:rsidRPr="00000000">
        <w:rPr>
          <w:rFonts w:ascii="Arial" w:cs="Arial" w:eastAsia="Arial" w:hAnsi="Arial"/>
          <w:b w:val="1"/>
          <w:u w:val="single"/>
          <w:rtl w:val="0"/>
        </w:rPr>
        <w:t xml:space="preserve">You will get 1 attempt.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Each week will cover a chapter in the manual. Each endorsement of the license will be covered.</w:t>
      </w:r>
    </w:p>
    <w:p w:rsidR="00000000" w:rsidDel="00000000" w:rsidP="00000000" w:rsidRDefault="00000000" w:rsidRPr="00000000" w14:paraId="0000000F">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Textbook and materials</w:t>
      </w:r>
    </w:p>
    <w:p w:rsidR="00000000" w:rsidDel="00000000" w:rsidP="00000000" w:rsidRDefault="00000000" w:rsidRPr="00000000" w14:paraId="00000011">
      <w:pPr>
        <w:spacing w:after="0" w:before="0" w:line="240" w:lineRule="auto"/>
        <w:rPr>
          <w:rFonts w:ascii="Arial" w:cs="Arial" w:eastAsia="Arial" w:hAnsi="Arial"/>
          <w:color w:val="0000ff"/>
          <w:u w:val="single"/>
        </w:rPr>
      </w:pPr>
      <w:r w:rsidDel="00000000" w:rsidR="00000000" w:rsidRPr="00000000">
        <w:rPr>
          <w:rFonts w:ascii="Arial" w:cs="Arial" w:eastAsia="Arial" w:hAnsi="Arial"/>
          <w:rtl w:val="0"/>
        </w:rPr>
        <w:t xml:space="preserve">The Oregon Commercial Driver Manual is available online and can either be printed out ( </w:t>
      </w:r>
      <w:r w:rsidDel="00000000" w:rsidR="00000000" w:rsidRPr="00000000">
        <w:rPr>
          <w:rFonts w:ascii="Arial" w:cs="Arial" w:eastAsia="Arial" w:hAnsi="Arial"/>
          <w:b w:val="1"/>
          <w:u w:val="single"/>
          <w:rtl w:val="0"/>
        </w:rPr>
        <w:t xml:space="preserve">do not print it in IA-213!)</w:t>
      </w:r>
      <w:r w:rsidDel="00000000" w:rsidR="00000000" w:rsidRPr="00000000">
        <w:rPr>
          <w:rFonts w:ascii="Arial" w:cs="Arial" w:eastAsia="Arial" w:hAnsi="Arial"/>
          <w:rtl w:val="0"/>
        </w:rPr>
        <w:t xml:space="preserve"> or used electronically. Find it here: </w:t>
      </w:r>
      <w:hyperlink r:id="rId7">
        <w:r w:rsidDel="00000000" w:rsidR="00000000" w:rsidRPr="00000000">
          <w:rPr>
            <w:rFonts w:ascii="Arial" w:cs="Arial" w:eastAsia="Arial" w:hAnsi="Arial"/>
            <w:color w:val="0000ff"/>
            <w:u w:val="single"/>
            <w:rtl w:val="0"/>
          </w:rPr>
          <w:t xml:space="preserve">http://www.odot.state.or.us/forms/dmv/36.pdf</w:t>
        </w:r>
      </w:hyperlink>
      <w:r w:rsidDel="00000000" w:rsidR="00000000" w:rsidRPr="00000000">
        <w:rPr>
          <w:rtl w:val="0"/>
        </w:rPr>
      </w:r>
    </w:p>
    <w:p w:rsidR="00000000" w:rsidDel="00000000" w:rsidP="00000000" w:rsidRDefault="00000000" w:rsidRPr="00000000" w14:paraId="00000012">
      <w:pPr>
        <w:spacing w:after="0" w:before="0" w:line="240" w:lineRule="auto"/>
        <w:rPr>
          <w:rFonts w:ascii="Arial" w:cs="Arial" w:eastAsia="Arial" w:hAnsi="Arial"/>
        </w:rPr>
      </w:pPr>
      <w:r w:rsidDel="00000000" w:rsidR="00000000" w:rsidRPr="00000000">
        <w:rPr>
          <w:rFonts w:ascii="Arial" w:cs="Arial" w:eastAsia="Arial" w:hAnsi="Arial"/>
          <w:color w:val="000000"/>
          <w:u w:val="none"/>
          <w:rtl w:val="0"/>
        </w:rPr>
        <w:t xml:space="preserve">The manual is also available at the DMV free of charge.</w:t>
      </w:r>
      <w:r w:rsidDel="00000000" w:rsidR="00000000" w:rsidRPr="00000000">
        <w:rPr>
          <w:rtl w:val="0"/>
        </w:rPr>
      </w:r>
    </w:p>
    <w:p w:rsidR="00000000" w:rsidDel="00000000" w:rsidP="00000000" w:rsidRDefault="00000000" w:rsidRPr="00000000" w14:paraId="00000013">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Week</w:t>
        <w:tab/>
        <w:t xml:space="preserve">Subject/Activit</w:t>
      </w:r>
      <w:r w:rsidDel="00000000" w:rsidR="00000000" w:rsidRPr="00000000">
        <w:rPr>
          <w:rFonts w:ascii="Arial" w:cs="Arial" w:eastAsia="Arial" w:hAnsi="Arial"/>
          <w:rtl w:val="0"/>
        </w:rPr>
        <w:t xml:space="preserve">y</w:t>
      </w:r>
    </w:p>
    <w:p w:rsidR="00000000" w:rsidDel="00000000" w:rsidP="00000000" w:rsidRDefault="00000000" w:rsidRPr="00000000" w14:paraId="00000015">
      <w:pPr>
        <w:tabs>
          <w:tab w:val="left" w:pos="4680"/>
        </w:tabs>
        <w:spacing w:after="0" w:before="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1*</w:t>
      </w: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Face to face class</w:t>
      </w:r>
    </w:p>
    <w:p w:rsidR="00000000" w:rsidDel="00000000" w:rsidP="00000000" w:rsidRDefault="00000000" w:rsidRPr="00000000" w14:paraId="00000016">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ab/>
        <w:t xml:space="preserve">Introduction/Orientation</w:t>
      </w:r>
    </w:p>
    <w:p w:rsidR="00000000" w:rsidDel="00000000" w:rsidP="00000000" w:rsidRDefault="00000000" w:rsidRPr="00000000" w14:paraId="00000017">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ab/>
        <w:t xml:space="preserve">Driving Safety – test 1</w:t>
      </w:r>
    </w:p>
    <w:p w:rsidR="00000000" w:rsidDel="00000000" w:rsidP="00000000" w:rsidRDefault="00000000" w:rsidRPr="00000000" w14:paraId="00000018">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9">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pos="4680"/>
        </w:tabs>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2</w:t>
        <w:tab/>
        <w:t xml:space="preserve">Transporting Cargo safely –  test 2</w:t>
      </w:r>
    </w:p>
    <w:p w:rsidR="00000000" w:rsidDel="00000000" w:rsidP="00000000" w:rsidRDefault="00000000" w:rsidRPr="00000000" w14:paraId="0000001B">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3</w:t>
        <w:tab/>
        <w:t xml:space="preserve">Air Brakes – test 3</w:t>
      </w:r>
    </w:p>
    <w:p w:rsidR="00000000" w:rsidDel="00000000" w:rsidP="00000000" w:rsidRDefault="00000000" w:rsidRPr="00000000" w14:paraId="0000001D">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4</w:t>
        <w:tab/>
        <w:t xml:space="preserve">Combination Vehicles – test 4</w:t>
      </w:r>
    </w:p>
    <w:p w:rsidR="00000000" w:rsidDel="00000000" w:rsidP="00000000" w:rsidRDefault="00000000" w:rsidRPr="00000000" w14:paraId="0000001F">
      <w:pPr>
        <w:tabs>
          <w:tab w:val="left" w:pos="4680"/>
        </w:tabs>
        <w:spacing w:after="0" w:before="0" w:line="240" w:lineRule="auto"/>
        <w:rPr>
          <w:rFonts w:ascii="Arial" w:cs="Arial" w:eastAsia="Arial" w:hAnsi="Arial"/>
          <w:b w:val="1"/>
          <w:u w:val="single"/>
        </w:rPr>
      </w:pP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20">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rtl w:val="0"/>
        </w:rPr>
        <w:tab/>
        <w:t xml:space="preserve">Doubles and Triples – test 5</w:t>
      </w:r>
    </w:p>
    <w:p w:rsidR="00000000" w:rsidDel="00000000" w:rsidP="00000000" w:rsidRDefault="00000000" w:rsidRPr="00000000" w14:paraId="00000021">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6</w:t>
        <w:tab/>
        <w:t xml:space="preserve">Tank Vehicles – test 6</w:t>
      </w:r>
    </w:p>
    <w:p w:rsidR="00000000" w:rsidDel="00000000" w:rsidP="00000000" w:rsidRDefault="00000000" w:rsidRPr="00000000" w14:paraId="00000023">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7</w:t>
        <w:tab/>
        <w:t xml:space="preserve">Hazardous Materials – test 7</w:t>
      </w:r>
    </w:p>
    <w:p w:rsidR="00000000" w:rsidDel="00000000" w:rsidP="00000000" w:rsidRDefault="00000000" w:rsidRPr="00000000" w14:paraId="00000025">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8</w:t>
        <w:tab/>
        <w:t xml:space="preserve">School Bus – test 8</w:t>
      </w:r>
    </w:p>
    <w:p w:rsidR="00000000" w:rsidDel="00000000" w:rsidP="00000000" w:rsidRDefault="00000000" w:rsidRPr="00000000" w14:paraId="00000027">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pos="4680"/>
        </w:tabs>
        <w:spacing w:after="0" w:before="0" w:line="240" w:lineRule="auto"/>
        <w:rPr>
          <w:rFonts w:ascii="Arial" w:cs="Arial" w:eastAsia="Arial" w:hAnsi="Arial"/>
        </w:rPr>
      </w:pPr>
      <w:r w:rsidDel="00000000" w:rsidR="00000000" w:rsidRPr="00000000">
        <w:rPr>
          <w:rFonts w:ascii="Arial" w:cs="Arial" w:eastAsia="Arial" w:hAnsi="Arial"/>
          <w:rtl w:val="0"/>
        </w:rPr>
        <w:t xml:space="preserve">9</w:t>
        <w:tab/>
        <w:t xml:space="preserve">Pre Trip Vehicle Inspection – Test 9</w:t>
      </w:r>
    </w:p>
    <w:p w:rsidR="00000000" w:rsidDel="00000000" w:rsidP="00000000" w:rsidRDefault="00000000" w:rsidRPr="00000000" w14:paraId="00000029">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pos="4680"/>
        </w:tabs>
        <w:spacing w:after="0" w:before="0" w:line="240" w:lineRule="auto"/>
        <w:rPr>
          <w:rFonts w:ascii="Arial" w:cs="Arial" w:eastAsia="Arial" w:hAnsi="Arial"/>
          <w:b w:val="1"/>
          <w:u w:val="singl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rtl w:val="0"/>
        </w:rPr>
        <w:tab/>
      </w:r>
      <w:r w:rsidDel="00000000" w:rsidR="00000000" w:rsidRPr="00000000">
        <w:rPr>
          <w:rFonts w:ascii="Arial" w:cs="Arial" w:eastAsia="Arial" w:hAnsi="Arial"/>
          <w:b w:val="1"/>
          <w:u w:val="single"/>
          <w:rtl w:val="0"/>
        </w:rPr>
        <w:t xml:space="preserve">TBD</w:t>
      </w:r>
      <w:r w:rsidDel="00000000" w:rsidR="00000000" w:rsidRPr="00000000">
        <w:rPr>
          <w:rtl w:val="0"/>
        </w:rPr>
      </w:r>
    </w:p>
    <w:p w:rsidR="00000000" w:rsidDel="00000000" w:rsidP="00000000" w:rsidRDefault="00000000" w:rsidRPr="00000000" w14:paraId="0000002B">
      <w:pPr>
        <w:tabs>
          <w:tab w:val="left" w:pos="4680"/>
        </w:tabs>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pos="4680"/>
        </w:tabs>
        <w:spacing w:after="0" w:before="0" w:line="240" w:lineRule="auto"/>
        <w:rPr>
          <w:rFonts w:ascii="Arial" w:cs="Arial" w:eastAsia="Arial" w:hAnsi="Arial"/>
          <w:b w:val="1"/>
          <w:sz w:val="28"/>
          <w:szCs w:val="28"/>
          <w:u w:val="single"/>
        </w:rPr>
      </w:pPr>
      <w:r w:rsidDel="00000000" w:rsidR="00000000" w:rsidRPr="00000000">
        <w:rPr>
          <w:rFonts w:ascii="Arial" w:cs="Arial" w:eastAsia="Arial" w:hAnsi="Arial"/>
          <w:rtl w:val="0"/>
        </w:rPr>
        <w:t xml:space="preserve">11</w:t>
        <w:tab/>
      </w:r>
      <w:r w:rsidDel="00000000" w:rsidR="00000000" w:rsidRPr="00000000">
        <w:rPr>
          <w:rFonts w:ascii="Arial" w:cs="Arial" w:eastAsia="Arial" w:hAnsi="Arial"/>
          <w:b w:val="1"/>
          <w:sz w:val="28"/>
          <w:szCs w:val="28"/>
          <w:u w:val="single"/>
          <w:rtl w:val="0"/>
        </w:rPr>
        <w:t xml:space="preserve">Final Exam:</w:t>
      </w:r>
    </w:p>
    <w:p w:rsidR="00000000" w:rsidDel="00000000" w:rsidP="00000000" w:rsidRDefault="00000000" w:rsidRPr="00000000" w14:paraId="0000002D">
      <w:pPr>
        <w:tabs>
          <w:tab w:val="left" w:pos="4680"/>
        </w:tabs>
        <w:spacing w:after="0" w:before="0" w:line="240" w:lineRule="auto"/>
        <w:rPr/>
      </w:pPr>
      <w:r w:rsidDel="00000000" w:rsidR="00000000" w:rsidRPr="00000000">
        <w:rPr>
          <w:rtl w:val="0"/>
        </w:rPr>
      </w:r>
    </w:p>
    <w:p w:rsidR="00000000" w:rsidDel="00000000" w:rsidP="00000000" w:rsidRDefault="00000000" w:rsidRPr="00000000" w14:paraId="0000002E">
      <w:pPr>
        <w:spacing w:after="0" w:before="0" w:line="240" w:lineRule="auto"/>
        <w:rPr/>
      </w:pPr>
      <w:r w:rsidDel="00000000" w:rsidR="00000000" w:rsidRPr="00000000">
        <w:rPr>
          <w:rtl w:val="0"/>
        </w:rPr>
      </w:r>
    </w:p>
    <w:p w:rsidR="00000000" w:rsidDel="00000000" w:rsidP="00000000" w:rsidRDefault="00000000" w:rsidRPr="00000000" w14:paraId="0000002F">
      <w:pPr>
        <w:spacing w:after="0" w:before="0" w:line="240" w:lineRule="auto"/>
        <w:rPr/>
      </w:pPr>
      <w:r w:rsidDel="00000000" w:rsidR="00000000" w:rsidRPr="00000000">
        <w:rPr>
          <w:rtl w:val="0"/>
        </w:rPr>
        <w:t xml:space="preserve">Grading Policy and Procedures</w:t>
      </w:r>
    </w:p>
    <w:p w:rsidR="00000000" w:rsidDel="00000000" w:rsidP="00000000" w:rsidRDefault="00000000" w:rsidRPr="00000000" w14:paraId="00000030">
      <w:pPr>
        <w:spacing w:after="0" w:before="0" w:line="240" w:lineRule="auto"/>
        <w:rPr/>
      </w:pPr>
      <w:r w:rsidDel="00000000" w:rsidR="00000000" w:rsidRPr="00000000">
        <w:rPr>
          <w:rtl w:val="0"/>
        </w:rPr>
        <w:t xml:space="preserve">Your grades will be based on weekly exam scores and timely testing.</w:t>
      </w:r>
    </w:p>
    <w:p w:rsidR="00000000" w:rsidDel="00000000" w:rsidP="00000000" w:rsidRDefault="00000000" w:rsidRPr="00000000" w14:paraId="00000031">
      <w:pPr>
        <w:spacing w:after="0" w:before="0" w:line="240" w:lineRule="auto"/>
        <w:rPr>
          <w:b w:val="1"/>
        </w:rPr>
      </w:pPr>
      <w:r w:rsidDel="00000000" w:rsidR="00000000" w:rsidRPr="00000000">
        <w:rPr>
          <w:b w:val="1"/>
          <w:rtl w:val="0"/>
        </w:rPr>
        <w:t xml:space="preserve">If you miss a mandatory in person class your final grade will be reduced 10%!</w:t>
      </w:r>
    </w:p>
    <w:p w:rsidR="00000000" w:rsidDel="00000000" w:rsidP="00000000" w:rsidRDefault="00000000" w:rsidRPr="00000000" w14:paraId="00000032">
      <w:pPr>
        <w:spacing w:after="0" w:before="0" w:line="240" w:lineRule="auto"/>
        <w:rPr/>
      </w:pPr>
      <w:r w:rsidDel="00000000" w:rsidR="00000000" w:rsidRPr="00000000">
        <w:rPr>
          <w:rtl w:val="0"/>
        </w:rPr>
      </w:r>
    </w:p>
    <w:p w:rsidR="00000000" w:rsidDel="00000000" w:rsidP="00000000" w:rsidRDefault="00000000" w:rsidRPr="00000000" w14:paraId="00000033">
      <w:pPr>
        <w:spacing w:after="0" w:before="0" w:line="240" w:lineRule="auto"/>
        <w:rPr/>
      </w:pPr>
      <w:r w:rsidDel="00000000" w:rsidR="00000000" w:rsidRPr="00000000">
        <w:rPr>
          <w:rtl w:val="0"/>
        </w:rPr>
        <w:t xml:space="preserve">Final Exam</w:t>
      </w:r>
    </w:p>
    <w:p w:rsidR="00000000" w:rsidDel="00000000" w:rsidP="00000000" w:rsidRDefault="00000000" w:rsidRPr="00000000" w14:paraId="00000034">
      <w:pPr>
        <w:spacing w:after="0" w:before="0" w:line="240" w:lineRule="auto"/>
        <w:rPr/>
      </w:pPr>
      <w:r w:rsidDel="00000000" w:rsidR="00000000" w:rsidRPr="00000000">
        <w:rPr>
          <w:rtl w:val="0"/>
        </w:rPr>
        <w:t xml:space="preserve">There will not be a midterm exam. The Final exam will encompass all areas of the course and is not mandatory.</w:t>
      </w:r>
    </w:p>
    <w:p w:rsidR="00000000" w:rsidDel="00000000" w:rsidP="00000000" w:rsidRDefault="00000000" w:rsidRPr="00000000" w14:paraId="00000035">
      <w:pPr>
        <w:spacing w:after="0" w:before="0" w:line="240" w:lineRule="auto"/>
        <w:rPr/>
      </w:pPr>
      <w:r w:rsidDel="00000000" w:rsidR="00000000" w:rsidRPr="00000000">
        <w:rPr>
          <w:rtl w:val="0"/>
        </w:rPr>
      </w:r>
    </w:p>
    <w:p w:rsidR="00000000" w:rsidDel="00000000" w:rsidP="00000000" w:rsidRDefault="00000000" w:rsidRPr="00000000" w14:paraId="00000036">
      <w:pPr>
        <w:spacing w:after="0" w:before="0" w:line="240" w:lineRule="auto"/>
        <w:rPr/>
      </w:pPr>
      <w:r w:rsidDel="00000000" w:rsidR="00000000" w:rsidRPr="00000000">
        <w:rPr>
          <w:rtl w:val="0"/>
        </w:rPr>
        <w:t xml:space="preserve">Overall Grading Summary</w:t>
      </w:r>
    </w:p>
    <w:p w:rsidR="00000000" w:rsidDel="00000000" w:rsidP="00000000" w:rsidRDefault="00000000" w:rsidRPr="00000000" w14:paraId="00000037">
      <w:pPr>
        <w:spacing w:after="0" w:before="0" w:line="240" w:lineRule="auto"/>
        <w:rPr/>
      </w:pPr>
      <w:r w:rsidDel="00000000" w:rsidR="00000000" w:rsidRPr="00000000">
        <w:rPr>
          <w:rtl w:val="0"/>
        </w:rPr>
        <w:t xml:space="preserve">Weekly test scores</w:t>
        <w:tab/>
        <w:t xml:space="preserve">100%</w:t>
      </w:r>
    </w:p>
    <w:p w:rsidR="00000000" w:rsidDel="00000000" w:rsidP="00000000" w:rsidRDefault="00000000" w:rsidRPr="00000000" w14:paraId="00000038">
      <w:pPr>
        <w:spacing w:after="0" w:before="0" w:line="240" w:lineRule="auto"/>
        <w:rPr/>
      </w:pPr>
      <w:r w:rsidDel="00000000" w:rsidR="00000000" w:rsidRPr="00000000">
        <w:rPr>
          <w:rtl w:val="0"/>
        </w:rPr>
        <w:t xml:space="preserve">Final Exam</w:t>
        <w:tab/>
        <w:tab/>
        <w:t xml:space="preserve">15% extra credit, not to exceed 100% total.</w:t>
      </w:r>
    </w:p>
    <w:p w:rsidR="00000000" w:rsidDel="00000000" w:rsidP="00000000" w:rsidRDefault="00000000" w:rsidRPr="00000000" w14:paraId="00000039">
      <w:pPr>
        <w:spacing w:after="0" w:before="0" w:line="240" w:lineRule="auto"/>
        <w:rPr/>
      </w:pPr>
      <w:r w:rsidDel="00000000" w:rsidR="00000000" w:rsidRPr="00000000">
        <w:rPr>
          <w:rtl w:val="0"/>
        </w:rPr>
      </w:r>
    </w:p>
    <w:p w:rsidR="00000000" w:rsidDel="00000000" w:rsidP="00000000" w:rsidRDefault="00000000" w:rsidRPr="00000000" w14:paraId="0000003A">
      <w:pPr>
        <w:spacing w:after="0" w:before="0" w:line="240" w:lineRule="auto"/>
        <w:rPr/>
      </w:pPr>
      <w:r w:rsidDel="00000000" w:rsidR="00000000" w:rsidRPr="00000000">
        <w:rPr>
          <w:rtl w:val="0"/>
        </w:rPr>
      </w:r>
    </w:p>
    <w:p w:rsidR="00000000" w:rsidDel="00000000" w:rsidP="00000000" w:rsidRDefault="00000000" w:rsidRPr="00000000" w14:paraId="0000003B">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Drop/Withdraw Policy: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If you are withdrawing from the class you must file a Schedule Change Form with Registration or use WebRunner.  If you formally drop the class </w:t>
      </w:r>
      <w:r w:rsidDel="00000000" w:rsidR="00000000" w:rsidRPr="00000000">
        <w:rPr>
          <w:rFonts w:ascii="Arial" w:cs="Arial" w:eastAsia="Arial" w:hAnsi="Arial"/>
          <w:b w:val="1"/>
          <w:sz w:val="24"/>
          <w:szCs w:val="24"/>
          <w:u w:val="single"/>
          <w:rtl w:val="0"/>
        </w:rPr>
        <w:t xml:space="preserve">before Monday of the second week of the term</w:t>
      </w:r>
      <w:r w:rsidDel="00000000" w:rsidR="00000000" w:rsidRPr="00000000">
        <w:rPr>
          <w:rFonts w:ascii="Arial" w:cs="Arial" w:eastAsia="Arial" w:hAnsi="Arial"/>
          <w:sz w:val="24"/>
          <w:szCs w:val="24"/>
          <w:rtl w:val="0"/>
        </w:rPr>
        <w:t xml:space="preserve">, you will receive a tuition refund.  If you withdraw after the Monday of the second week of instruction through the seventh week a </w:t>
      </w:r>
      <w:r w:rsidDel="00000000" w:rsidR="00000000" w:rsidRPr="00000000">
        <w:rPr>
          <w:rFonts w:ascii="Arial" w:cs="Arial" w:eastAsia="Arial" w:hAnsi="Arial"/>
          <w:b w:val="1"/>
          <w:sz w:val="24"/>
          <w:szCs w:val="24"/>
          <w:rtl w:val="0"/>
        </w:rPr>
        <w:t xml:space="preserve">‘W’</w:t>
      </w:r>
      <w:r w:rsidDel="00000000" w:rsidR="00000000" w:rsidRPr="00000000">
        <w:rPr>
          <w:rFonts w:ascii="Arial" w:cs="Arial" w:eastAsia="Arial" w:hAnsi="Arial"/>
          <w:sz w:val="24"/>
          <w:szCs w:val="24"/>
          <w:rtl w:val="0"/>
        </w:rPr>
        <w:t xml:space="preserve"> will show up on your transcript.  No withdrawals are allowed after the end of the seventh week.  An instructor may not assign a “W” grade.</w:t>
      </w:r>
    </w:p>
    <w:p w:rsidR="00000000" w:rsidDel="00000000" w:rsidP="00000000" w:rsidRDefault="00000000" w:rsidRPr="00000000" w14:paraId="0000003C">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received financial aid or veteran’s benefits, PLEASE talk with associates at the appropriate office to determine what effects on eligibility dropping a course will have.  Don’t jeopardize your eligibility!!  You can contact the Financial Aid Office by calling (541) 917-4850 or by visiting the Financial Aid Office in Takena Hall.</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stop attending the course without formally withdrawing you will continue to accumulate grades (zeroes for all assignments not turned in) and will receive the grade assigned by the instructor.  You will also be held accountable for all charges on your account.</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1">
      <w:pPr>
        <w:spacing w:after="12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Nondiscrimination and Non-Harassment:</w:t>
      </w:r>
      <w:r w:rsidDel="00000000" w:rsidR="00000000" w:rsidRPr="00000000">
        <w:rPr>
          <w:rFonts w:ascii="Arial" w:cs="Arial" w:eastAsia="Arial" w:hAnsi="Arial"/>
          <w:sz w:val="24"/>
          <w:szCs w:val="24"/>
          <w:rtl w:val="0"/>
        </w:rPr>
        <w:t xml:space="preserve"> Linn-Benton Community College is committed to providing an atmosphere that encourages individuals to realize their potential. We embrace diversity and inclusion of all persons. 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Rolen, CC-108, 541-917-4425; Lynne Cox, T-107B, 541-917-4806, LBCC, Albany, Oregon.  </w:t>
      </w:r>
    </w:p>
    <w:p w:rsidR="00000000" w:rsidDel="00000000" w:rsidP="00000000" w:rsidRDefault="00000000" w:rsidRPr="00000000" w14:paraId="00000042">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report:  linnbenton-advocate.symplicity.com/public_report. In addition, the college complies with related federal, state, and local laws (Civil Rights, Disability &amp; Rehabilitation Acts, Veterans Acts).</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LBCC is committed to providing equal opportunity in all of its programs, policies, procedures, and practices, and the college shall promote equal opportunity and treatment through application of this policy and other college efforts designed for that purpose.  For further information see Administrative Rule No. 1015-01 at</w:t>
      </w:r>
      <w:r w:rsidDel="00000000" w:rsidR="00000000" w:rsidRPr="00000000">
        <w:rPr>
          <w:rFonts w:ascii="Arial" w:cs="Arial" w:eastAsia="Arial" w:hAnsi="Arial"/>
          <w:color w:val="333333"/>
          <w:sz w:val="24"/>
          <w:szCs w:val="24"/>
          <w:rtl w:val="0"/>
        </w:rPr>
        <w:t xml:space="preserve"> </w:t>
      </w:r>
      <w:hyperlink r:id="rId8">
        <w:r w:rsidDel="00000000" w:rsidR="00000000" w:rsidRPr="00000000">
          <w:rPr>
            <w:rFonts w:ascii="Arial" w:cs="Arial" w:eastAsia="Arial" w:hAnsi="Arial"/>
            <w:color w:val="0039a6"/>
            <w:sz w:val="24"/>
            <w:szCs w:val="24"/>
            <w:u w:val="single"/>
            <w:rtl w:val="0"/>
          </w:rPr>
          <w:t xml:space="preserve">http://po.linnbenton.edu/BPsandARs/</w:t>
        </w:r>
      </w:hyperlink>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Center for Accessibility Resources:</w:t>
      </w: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should meet with your instructor during the first week of class if:</w:t>
        <w:br w:type="textWrapping"/>
        <w:tab/>
        <w:t xml:space="preserve">1. You have a documented disability and need accommodations.</w:t>
        <w:br w:type="textWrapping"/>
        <w:tab/>
        <w:t xml:space="preserve">2. Your instructor needs to know medical information about you.</w:t>
        <w:br w:type="textWrapping"/>
        <w:tab/>
        <w:t xml:space="preserve">3. You need special arrangements in the event of an emergency.</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If you have documented your disability, remember that you must make your request for</w:t>
        <w:br w:type="textWrapping"/>
        <w:t xml:space="preserve">accommodations through the Center for Accessibility Resources Online Services web page every</w:t>
        <w:br w:type="textWrapping"/>
        <w:t xml:space="preserve">term in order to receive accommodations. If you believe you may need accommodations but are not</w:t>
        <w:br w:type="textWrapping"/>
        <w:t xml:space="preserve">yet registered with CFAR, please visit the CFAR website at </w:t>
      </w:r>
      <w:hyperlink r:id="rId9">
        <w:r w:rsidDel="00000000" w:rsidR="00000000" w:rsidRPr="00000000">
          <w:rPr>
            <w:rFonts w:ascii="Arial" w:cs="Arial" w:eastAsia="Arial" w:hAnsi="Arial"/>
            <w:color w:val="0000ff"/>
            <w:sz w:val="24"/>
            <w:szCs w:val="24"/>
            <w:u w:val="single"/>
            <w:rtl w:val="0"/>
          </w:rPr>
          <w:t xml:space="preserve">http://www.linnbenton.edu/cfar</w:t>
        </w:r>
      </w:hyperlink>
      <w:r w:rsidDel="00000000" w:rsidR="00000000" w:rsidRPr="00000000">
        <w:rPr>
          <w:rFonts w:ascii="Arial" w:cs="Arial" w:eastAsia="Arial" w:hAnsi="Arial"/>
          <w:sz w:val="24"/>
          <w:szCs w:val="24"/>
          <w:rtl w:val="0"/>
        </w:rPr>
        <w:t xml:space="preserve"> for steps on how to apply for services or call 541-917-4789.</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Veterans and active duty military personnel</w:t>
      </w:r>
      <w:r w:rsidDel="00000000" w:rsidR="00000000" w:rsidRPr="00000000">
        <w:rPr>
          <w:rFonts w:ascii="Arial" w:cs="Arial" w:eastAsia="Arial" w:hAnsi="Arial"/>
          <w:sz w:val="24"/>
          <w:szCs w:val="24"/>
          <w:rtl w:val="0"/>
        </w:rPr>
        <w:t xml:space="preserve"> with special circumstances are welcome and encouraged to communicate these, in advance if possible, to the instructor.</w:t>
      </w:r>
    </w:p>
    <w:p w:rsidR="00000000" w:rsidDel="00000000" w:rsidP="00000000" w:rsidRDefault="00000000" w:rsidRPr="00000000" w14:paraId="0000004A">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Students Rights, Responsibilities, and Conduct Policy:</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LBCC students have rights: the right to free speech, the right to assemble, the right of a free press, etc. 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 Rights and responsibilities balance together to create the best learning environment. For example, while you have free speech in the café or courtyard, in class the instructor decides whose turn it is to talk and what the topics for conversation will be. Students are free to believe what they believe, but instructors may require students to learn and recite concepts, principles, or theories for a class even if the student does not believe those concepts. You play a role in creating a positive community at LBCC. Please review your rights and responsibilities at this link: www.linnbenton.edu/go/studentrights.</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believe a student is violating your rights, ask to be treated with respect. If that does not resolve the situation, report to Associate Dean Dr. Lynne Cox, Takena 107. If you believe a faculty member or LBCC employee is violating your rights, please report to Human Resources, Scott Rolen, CC-108.</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In cases of immediate danger, report to Public Safety, Red Cedar Hall (RCH-119), 541-926-6855. (We encourage all students to enter this Public Safety phone number into their cell phone.)</w:t>
      </w: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Personal Empowerment Through Self-Awareness: </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LBCC is launching a new training called “Personal Empowerment Through Self-Awareness.” This training is an online video series on dating, sexual consent, and on preventing sexual violence or partner violence. Every student has a right and healthy learning climate. Every new student is required by federal law to complete this training to learn how to safeguard yourself and others from sexual assault. We ask students to watch for email notification and to ensure that they complete this new training. (For example, do you know the number one date rape drug? It’s not what you think! Check out the training.) This online series reviews federal and Oregon law and is designed for your safety. The training will also direct you how to report dating, sexual, or partner violence to LBCC officials.</w:t>
      </w:r>
    </w:p>
    <w:p w:rsidR="00000000" w:rsidDel="00000000" w:rsidP="00000000" w:rsidRDefault="00000000" w:rsidRPr="00000000" w14:paraId="00000056">
      <w:pPr>
        <w:tabs>
          <w:tab w:val="left" w:pos="81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5" Type="http://schemas.openxmlformats.org/officeDocument/2006/relationships/styles" Target="styles.xml"/><Relationship Id="rId6" Type="http://schemas.openxmlformats.org/officeDocument/2006/relationships/hyperlink" Target="mailto:kempert@linnbenton.edu" TargetMode="External"/><Relationship Id="rId7" Type="http://schemas.openxmlformats.org/officeDocument/2006/relationships/hyperlink" Target="http://www.odot.state.or.us/forms/dmv/36.pdf" TargetMode="External"/><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