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spacing w:line="240" w:lineRule="auto"/>
        <w:contextualSpacing w:val="0"/>
        <w:jc w:val="center"/>
        <w:rPr>
          <w:sz w:val="36"/>
          <w:szCs w:val="36"/>
        </w:rPr>
      </w:pPr>
      <w:bookmarkStart w:colFirst="0" w:colLast="0" w:name="_6b22pov5goyi" w:id="0"/>
      <w:bookmarkEnd w:id="0"/>
      <w:r w:rsidDel="00000000" w:rsidR="00000000" w:rsidRPr="00000000">
        <w:rPr>
          <w:sz w:val="36"/>
          <w:szCs w:val="36"/>
          <w:rtl w:val="0"/>
        </w:rPr>
        <w:t xml:space="preserve">Welcome to ECON 201: Microeconomics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Mondays and Wednesdays, 10-11:50pm, T 219</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Katie Winder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NSH 112</w:t>
        <w:tab/>
        <w:tab/>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(541) 936-9975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color w:val="4a86e8"/>
          <w:u w:val="single"/>
          <w:rtl w:val="0"/>
        </w:rPr>
        <w:t xml:space="preserve">winderk@linnbenton.edu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firstLine="720"/>
        <w:contextualSpacing w:val="0"/>
        <w:rPr/>
      </w:pPr>
      <w:r w:rsidDel="00000000" w:rsidR="00000000" w:rsidRPr="00000000">
        <w:rPr>
          <w:rtl w:val="0"/>
        </w:rPr>
        <w:t xml:space="preserve">        </w:t>
      </w:r>
    </w:p>
    <w:p w:rsidR="00000000" w:rsidDel="00000000" w:rsidP="00000000" w:rsidRDefault="00000000" w:rsidRPr="00000000" w14:paraId="00000008">
      <w:pPr>
        <w:pStyle w:val="Heading2"/>
        <w:contextualSpacing w:val="0"/>
        <w:rPr/>
      </w:pPr>
      <w:bookmarkStart w:colFirst="0" w:colLast="0" w:name="_rb2lw3t9qdp8" w:id="1"/>
      <w:bookmarkEnd w:id="1"/>
      <w:r w:rsidDel="00000000" w:rsidR="00000000" w:rsidRPr="00000000">
        <w:rPr>
          <w:rtl w:val="0"/>
        </w:rPr>
        <w:t xml:space="preserve">Why Study Microeconomics?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Alfred Marshall defined economics as the study of people in the ordinary business of life.  Microeconomics helps us to understand how people and firms make choices, how markets are organized, why and how markets behave differently, and the effects government interventions have in market outcomes. I LOVE this course, and I am hoping that by the end of the quarter you will develop an appreciation for the subject, too.</w:t>
      </w:r>
    </w:p>
    <w:p w:rsidR="00000000" w:rsidDel="00000000" w:rsidP="00000000" w:rsidRDefault="00000000" w:rsidRPr="00000000" w14:paraId="0000000A">
      <w:pPr>
        <w:pStyle w:val="Heading2"/>
        <w:spacing w:line="240" w:lineRule="auto"/>
        <w:contextualSpacing w:val="0"/>
        <w:rPr/>
      </w:pPr>
      <w:bookmarkStart w:colFirst="0" w:colLast="0" w:name="_lp31u0fxs7vx" w:id="2"/>
      <w:bookmarkEnd w:id="2"/>
      <w:r w:rsidDel="00000000" w:rsidR="00000000" w:rsidRPr="00000000">
        <w:rPr>
          <w:rtl w:val="0"/>
        </w:rPr>
        <w:t xml:space="preserve">Required Resources</w:t>
      </w:r>
    </w:p>
    <w:p w:rsidR="00000000" w:rsidDel="00000000" w:rsidP="00000000" w:rsidRDefault="00000000" w:rsidRPr="00000000" w14:paraId="0000000B">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Print and/or ebook version of:  Microeconomics, Hubbard, Glenn R. and O’Brien, Anthony Patrick, 7th Ed,  Pearson Education, Inc, © 2017,</w:t>
      </w:r>
    </w:p>
    <w:p w:rsidR="00000000" w:rsidDel="00000000" w:rsidP="00000000" w:rsidRDefault="00000000" w:rsidRPr="00000000" w14:paraId="0000000C">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calculator (a phone calculator will work for daily use, but you will want a regular (non-graphing is fine) calculator for exams)</w:t>
      </w:r>
    </w:p>
    <w:p w:rsidR="00000000" w:rsidDel="00000000" w:rsidP="00000000" w:rsidRDefault="00000000" w:rsidRPr="00000000" w14:paraId="0000000D">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Blank paper, colored pencils or multiple colors of pens, and a straight-edge for graphing.</w:t>
      </w:r>
    </w:p>
    <w:p w:rsidR="00000000" w:rsidDel="00000000" w:rsidP="00000000" w:rsidRDefault="00000000" w:rsidRPr="00000000" w14:paraId="0000000E">
      <w:pPr>
        <w:pStyle w:val="Heading2"/>
        <w:spacing w:line="240" w:lineRule="auto"/>
        <w:contextualSpacing w:val="0"/>
        <w:rPr/>
      </w:pPr>
      <w:bookmarkStart w:colFirst="0" w:colLast="0" w:name="_qfw9q0idfljv" w:id="3"/>
      <w:bookmarkEnd w:id="3"/>
      <w:r w:rsidDel="00000000" w:rsidR="00000000" w:rsidRPr="00000000">
        <w:rPr>
          <w:rtl w:val="0"/>
        </w:rPr>
        <w:t xml:space="preserve">Grading</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course grades will be determined based on the following point system:</w:t>
      </w:r>
    </w:p>
    <w:tbl>
      <w:tblPr>
        <w:tblStyle w:val="Table1"/>
        <w:tblW w:w="4905.0" w:type="dxa"/>
        <w:jc w:val="left"/>
        <w:tblInd w:w="100.0" w:type="pct"/>
        <w:tblLayout w:type="fixed"/>
        <w:tblLook w:val="0600"/>
      </w:tblPr>
      <w:tblGrid>
        <w:gridCol w:w="2940"/>
        <w:gridCol w:w="1965"/>
        <w:tblGridChange w:id="0">
          <w:tblGrid>
            <w:gridCol w:w="2940"/>
            <w:gridCol w:w="1965"/>
          </w:tblGrid>
        </w:tblGridChange>
      </w:tblGrid>
      <w:tr>
        <w:trPr>
          <w:trHeight w:val="460" w:hRule="atLeast"/>
        </w:trP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Percent of Total</w:t>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Midterm</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Quizzes </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r w:rsidDel="00000000" w:rsidR="00000000" w:rsidRPr="00000000">
              <w:rPr>
                <w:rtl w:val="0"/>
              </w:rPr>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 (90 points and up),  B (90 &lt; 80 points),  C (80 &lt; 70 points),  D (70 &lt; 60 points), or  F ( 0 &lt; 60 points)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pStyle w:val="Heading2"/>
        <w:spacing w:line="240" w:lineRule="auto"/>
        <w:contextualSpacing w:val="0"/>
        <w:rPr/>
      </w:pPr>
      <w:bookmarkStart w:colFirst="0" w:colLast="0" w:name="_drzt2q36dps1" w:id="4"/>
      <w:bookmarkEnd w:id="4"/>
      <w:r w:rsidDel="00000000" w:rsidR="00000000" w:rsidRPr="00000000">
        <w:rPr>
          <w:rtl w:val="0"/>
        </w:rPr>
        <w:t xml:space="preserve">Course Outcomes</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spacing w:line="259.00079999999997" w:lineRule="auto"/>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rtl w:val="0"/>
        </w:rPr>
        <w:t xml:space="preserve">Discuss the role scarcity plays in defining economic choices and how individuals, companies and nations resolve these issues.</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spacing w:line="259.00079999999997" w:lineRule="auto"/>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rtl w:val="0"/>
        </w:rPr>
        <w:t xml:space="preserve">Describe and apply marginal analysis, principle of opportunity cost, principle of diminishing returns, comparative advantage, elasticity.</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spacing w:line="259.00079999999997" w:lineRule="auto"/>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rtl w:val="0"/>
        </w:rPr>
        <w:t xml:space="preserve">Analyze the relationships between production costs and cost curves.</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spacing w:line="259.00079999999997" w:lineRule="auto"/>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rtl w:val="0"/>
        </w:rPr>
        <w:t xml:space="preserve">Explain the mechanics of supply and demand and apply the supply and demand model to evaluate markets.</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spacing w:line="259.00079999999997" w:lineRule="auto"/>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rtl w:val="0"/>
        </w:rPr>
        <w:t xml:space="preserve">Discuss the efficiency and equity of both competitive and uncompetitive markets and how both are impacted by government intervention.</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spacing w:line="259.00079999999997" w:lineRule="auto"/>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rtl w:val="0"/>
        </w:rPr>
        <w:t xml:space="preserve">Explain, compare and contrast, and apply in context each of the basic market structures – i.e. perfect competition, monopoly, oligopoly and monopolistic competition.</w:t>
      </w:r>
    </w:p>
    <w:p w:rsidR="00000000" w:rsidDel="00000000" w:rsidP="00000000" w:rsidRDefault="00000000" w:rsidRPr="00000000" w14:paraId="00000027">
      <w:pPr>
        <w:pStyle w:val="Heading2"/>
        <w:contextualSpacing w:val="0"/>
        <w:rPr/>
      </w:pPr>
      <w:bookmarkStart w:colFirst="0" w:colLast="0" w:name="_g98szhltyjuq" w:id="5"/>
      <w:bookmarkEnd w:id="5"/>
      <w:r w:rsidDel="00000000" w:rsidR="00000000" w:rsidRPr="00000000">
        <w:rPr>
          <w:rtl w:val="0"/>
        </w:rPr>
        <w:t xml:space="preserve">What this Class Will Be Like</w:t>
      </w:r>
    </w:p>
    <w:p w:rsidR="00000000" w:rsidDel="00000000" w:rsidP="00000000" w:rsidRDefault="00000000" w:rsidRPr="00000000" w14:paraId="0000002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Economics is fun when it is applied, and we will be doing lots of applied work in and outside of class to help you really own the material.  This means that I will not be doing as much traditional lecture, and thus you need to be responsible for reading the material that I don’t “cover” in class.  I will emphasize what you are responsible for knowing that we will not be spending time on.  I expect you to be in class every session and will take attendance on Moodle.  Your grade for participation requires your frequent attendance to be earned, but attendance alone will not earn you a full score on participation.  That score is based on your engagement on individual and team work in class.  If you cannot be in class, please email or text me in advance.</w:t>
      </w:r>
    </w:p>
    <w:p w:rsidR="00000000" w:rsidDel="00000000" w:rsidP="00000000" w:rsidRDefault="00000000" w:rsidRPr="00000000" w14:paraId="00000029">
      <w:pPr>
        <w:pStyle w:val="Heading2"/>
        <w:contextualSpacing w:val="0"/>
        <w:rPr/>
      </w:pPr>
      <w:bookmarkStart w:colFirst="0" w:colLast="0" w:name="_3lsrgr782cu9" w:id="6"/>
      <w:bookmarkEnd w:id="6"/>
      <w:r w:rsidDel="00000000" w:rsidR="00000000" w:rsidRPr="00000000">
        <w:rPr>
          <w:rtl w:val="0"/>
        </w:rPr>
        <w:t xml:space="preserve">Your Study Routine</w:t>
      </w:r>
    </w:p>
    <w:p w:rsidR="00000000" w:rsidDel="00000000" w:rsidP="00000000" w:rsidRDefault="00000000" w:rsidRPr="00000000" w14:paraId="0000002A">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expected to study at least six hours per week during the quarter outside of class time. Study means working problems, reading for understanding in our text, doing homework in MyEconLab, working with your team, and so on.  Find a good study spot on campus and develop a fixed time to study!</w:t>
      </w:r>
    </w:p>
    <w:p w:rsidR="00000000" w:rsidDel="00000000" w:rsidP="00000000" w:rsidRDefault="00000000" w:rsidRPr="00000000" w14:paraId="0000002B">
      <w:pPr>
        <w:pStyle w:val="Heading2"/>
        <w:spacing w:line="240" w:lineRule="auto"/>
        <w:contextualSpacing w:val="0"/>
        <w:rPr>
          <w:rFonts w:ascii="Times New Roman" w:cs="Times New Roman" w:eastAsia="Times New Roman" w:hAnsi="Times New Roman"/>
          <w:sz w:val="20"/>
          <w:szCs w:val="20"/>
        </w:rPr>
      </w:pPr>
      <w:bookmarkStart w:colFirst="0" w:colLast="0" w:name="_nmxdx82e6py8" w:id="7"/>
      <w:bookmarkEnd w:id="7"/>
      <w:r w:rsidDel="00000000" w:rsidR="00000000" w:rsidRPr="00000000">
        <w:rPr>
          <w:rtl w:val="0"/>
        </w:rPr>
        <w:t xml:space="preserve">Moodle/MyEconLab Homework</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t xml:space="preserve">And Quizzes</w:t>
      </w:r>
      <w:r w:rsidDel="00000000" w:rsidR="00000000" w:rsidRPr="00000000">
        <w:rPr>
          <w:rtl w:val="0"/>
        </w:rPr>
      </w:r>
    </w:p>
    <w:p w:rsidR="00000000" w:rsidDel="00000000" w:rsidP="00000000" w:rsidRDefault="00000000" w:rsidRPr="00000000" w14:paraId="0000002C">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textbook publisher, Pearson, has companion software that allows the completion and submittal of online homework and quizzes.  You will be using MyEconLab through your Moodle account to submit homework assignments during this class. There will be 12 chapter quizzes. You may re-take each quiz up to 5 times to improve your grade (prior to the due date). After the due date, you will be assess a 25% late penalty for submittal up to one week after the due date. Exception: Quizzes for Chapters 15 and 16 will not be accepted after Dec. 5th.  Homework consists of online experiments and occasionally written worksheets. If the assignment is written, you need to print the worksheet and bring it to class on the following Monday. There are 8 homework assignments and I will drop your lowest 2 scores -- however, homework cannot be turned in after the due date.</w:t>
      </w:r>
    </w:p>
    <w:p w:rsidR="00000000" w:rsidDel="00000000" w:rsidP="00000000" w:rsidRDefault="00000000" w:rsidRPr="00000000" w14:paraId="0000002D">
      <w:pPr>
        <w:pStyle w:val="Heading2"/>
        <w:spacing w:line="240" w:lineRule="auto"/>
        <w:contextualSpacing w:val="0"/>
        <w:rPr/>
      </w:pPr>
      <w:bookmarkStart w:colFirst="0" w:colLast="0" w:name="_pt40ciq252tk" w:id="8"/>
      <w:bookmarkEnd w:id="8"/>
      <w:r w:rsidDel="00000000" w:rsidR="00000000" w:rsidRPr="00000000">
        <w:rPr>
          <w:rtl w:val="0"/>
        </w:rPr>
        <w:t xml:space="preserve">Exams</w:t>
      </w:r>
    </w:p>
    <w:p w:rsidR="00000000" w:rsidDel="00000000" w:rsidP="00000000" w:rsidRDefault="00000000" w:rsidRPr="00000000" w14:paraId="0000002E">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have a whole class period to complete the midterm, and the entire finals period to complete the final exam.  The format for both will include multiple choice, short essay, and/or quantitative problems.  The exams will be closed book/notes and you can use a calculator (single-use device; not your phone). All electronic devices must be put away unless by prior arrangement.  Exam dates are indicated on the “Outline by Date” at the end of this document.  Exams must be taken on the date scheduled unless prior (at least one week before) arrangements have been made.  Exams can be taken at the testing center by prior arrangement.  If the mid-term exam is missed without prior arrangement, the weight of the exam will be added to the final.</w:t>
      </w:r>
    </w:p>
    <w:p w:rsidR="00000000" w:rsidDel="00000000" w:rsidP="00000000" w:rsidRDefault="00000000" w:rsidRPr="00000000" w14:paraId="0000002F">
      <w:pPr>
        <w:pStyle w:val="Heading2"/>
        <w:spacing w:line="240" w:lineRule="auto"/>
        <w:contextualSpacing w:val="0"/>
        <w:rPr/>
      </w:pPr>
      <w:bookmarkStart w:colFirst="0" w:colLast="0" w:name="_2bgawoi297zt" w:id="9"/>
      <w:bookmarkEnd w:id="9"/>
      <w:r w:rsidDel="00000000" w:rsidR="00000000" w:rsidRPr="00000000">
        <w:rPr>
          <w:rtl w:val="0"/>
        </w:rPr>
        <w:t xml:space="preserve">Students Who Need Accommodations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60" w:line="259"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6">
        <w:r w:rsidDel="00000000" w:rsidR="00000000" w:rsidRPr="00000000">
          <w:rPr>
            <w:rFonts w:ascii="Times New Roman" w:cs="Times New Roman" w:eastAsia="Times New Roman" w:hAnsi="Times New Roman"/>
            <w:sz w:val="20"/>
            <w:szCs w:val="20"/>
            <w:rtl w:val="0"/>
          </w:rPr>
          <w:t xml:space="preserve">http://linnbenton.edu/cfar</w:t>
        </w:r>
      </w:hyperlink>
      <w:r w:rsidDel="00000000" w:rsidR="00000000" w:rsidRPr="00000000">
        <w:rPr>
          <w:rFonts w:ascii="Times New Roman" w:cs="Times New Roman" w:eastAsia="Times New Roman" w:hAnsi="Times New Roman"/>
          <w:sz w:val="20"/>
          <w:szCs w:val="20"/>
          <w:rtl w:val="0"/>
        </w:rPr>
        <w:t xml:space="preserve"> for steps on how to apply for services or call 541-917-4789.</w:t>
      </w:r>
    </w:p>
    <w:p w:rsidR="00000000" w:rsidDel="00000000" w:rsidP="00000000" w:rsidRDefault="00000000" w:rsidRPr="00000000" w14:paraId="00000031">
      <w:pPr>
        <w:pStyle w:val="Heading2"/>
        <w:spacing w:line="240" w:lineRule="auto"/>
        <w:contextualSpacing w:val="0"/>
        <w:rPr/>
      </w:pPr>
      <w:bookmarkStart w:colFirst="0" w:colLast="0" w:name="_liyp7ytx8hjj" w:id="10"/>
      <w:bookmarkEnd w:id="10"/>
      <w:r w:rsidDel="00000000" w:rsidR="00000000" w:rsidRPr="00000000">
        <w:rPr>
          <w:rtl w:val="0"/>
        </w:rPr>
        <w:t xml:space="preserve">Academic Integrity</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expected to follow College policies regarding academic integrity as articulated in the </w:t>
      </w:r>
      <w:hyperlink r:id="rId7">
        <w:r w:rsidDel="00000000" w:rsidR="00000000" w:rsidRPr="00000000">
          <w:rPr>
            <w:rFonts w:ascii="Times New Roman" w:cs="Times New Roman" w:eastAsia="Times New Roman" w:hAnsi="Times New Roman"/>
            <w:color w:val="1155cc"/>
            <w:sz w:val="20"/>
            <w:szCs w:val="20"/>
            <w:u w:val="single"/>
            <w:rtl w:val="0"/>
          </w:rPr>
          <w:t xml:space="preserve">Students Rights and Responsibilities Handbook</w:t>
        </w:r>
      </w:hyperlink>
      <w:r w:rsidDel="00000000" w:rsidR="00000000" w:rsidRPr="00000000">
        <w:rPr>
          <w:rFonts w:ascii="Times New Roman" w:cs="Times New Roman" w:eastAsia="Times New Roman" w:hAnsi="Times New Roman"/>
          <w:sz w:val="20"/>
          <w:szCs w:val="20"/>
          <w:rtl w:val="0"/>
        </w:rPr>
        <w:t xml:space="preserve">. You will receive a failing grade on quizzes, exams, or the course if you are found to be involved in academic dishonesty (cheating, plagiarism, etc.).  Since there is a lot of </w:t>
      </w:r>
      <w:r w:rsidDel="00000000" w:rsidR="00000000" w:rsidRPr="00000000">
        <w:rPr>
          <w:rFonts w:ascii="Times New Roman" w:cs="Times New Roman" w:eastAsia="Times New Roman" w:hAnsi="Times New Roman"/>
          <w:i w:val="1"/>
          <w:sz w:val="20"/>
          <w:szCs w:val="20"/>
          <w:rtl w:val="0"/>
        </w:rPr>
        <w:t xml:space="preserve">allowed </w:t>
      </w:r>
      <w:r w:rsidDel="00000000" w:rsidR="00000000" w:rsidRPr="00000000">
        <w:rPr>
          <w:rFonts w:ascii="Times New Roman" w:cs="Times New Roman" w:eastAsia="Times New Roman" w:hAnsi="Times New Roman"/>
          <w:sz w:val="20"/>
          <w:szCs w:val="20"/>
          <w:rtl w:val="0"/>
        </w:rPr>
        <w:t xml:space="preserve">collaboration in this class, please ask when you are confused about the rules for a particular assignment. </w:t>
      </w:r>
    </w:p>
    <w:p w:rsidR="00000000" w:rsidDel="00000000" w:rsidP="00000000" w:rsidRDefault="00000000" w:rsidRPr="00000000" w14:paraId="00000033">
      <w:pPr>
        <w:pStyle w:val="Heading2"/>
        <w:spacing w:line="240" w:lineRule="auto"/>
        <w:contextualSpacing w:val="0"/>
        <w:rPr/>
      </w:pPr>
      <w:bookmarkStart w:colFirst="0" w:colLast="0" w:name="_r9rxr5y5dy8k" w:id="11"/>
      <w:bookmarkEnd w:id="11"/>
      <w:r w:rsidDel="00000000" w:rsidR="00000000" w:rsidRPr="00000000">
        <w:rPr>
          <w:rtl w:val="0"/>
        </w:rPr>
        <w:t xml:space="preserve">LBCC Comprehensive Statement of Nondiscrimination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pPr>
      <w:r w:rsidDel="00000000" w:rsidR="00000000" w:rsidRPr="00000000">
        <w:rPr>
          <w:rtl w:val="0"/>
        </w:rPr>
      </w:r>
    </w:p>
    <w:p w:rsidR="00000000" w:rsidDel="00000000" w:rsidP="00000000" w:rsidRDefault="00000000" w:rsidRPr="00000000" w14:paraId="00000037">
      <w:pPr>
        <w:pStyle w:val="Heading2"/>
        <w:spacing w:line="240" w:lineRule="auto"/>
        <w:contextualSpacing w:val="0"/>
        <w:rPr/>
      </w:pPr>
      <w:bookmarkStart w:colFirst="0" w:colLast="0" w:name="_sxw3t6862pws" w:id="12"/>
      <w:bookmarkEnd w:id="12"/>
      <w:r w:rsidDel="00000000" w:rsidR="00000000" w:rsidRPr="00000000">
        <w:rPr>
          <w:rtl w:val="0"/>
        </w:rPr>
      </w:r>
    </w:p>
    <w:p w:rsidR="00000000" w:rsidDel="00000000" w:rsidP="00000000" w:rsidRDefault="00000000" w:rsidRPr="00000000" w14:paraId="00000038">
      <w:pPr>
        <w:pStyle w:val="Heading2"/>
        <w:spacing w:line="240" w:lineRule="auto"/>
        <w:contextualSpacing w:val="0"/>
        <w:rPr/>
      </w:pPr>
      <w:bookmarkStart w:colFirst="0" w:colLast="0" w:name="_599curi27e3c" w:id="13"/>
      <w:bookmarkEnd w:id="13"/>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2"/>
        <w:spacing w:line="240" w:lineRule="auto"/>
        <w:contextualSpacing w:val="0"/>
        <w:rPr/>
      </w:pPr>
      <w:bookmarkStart w:colFirst="0" w:colLast="0" w:name="_omr78p8nbna2" w:id="14"/>
      <w:bookmarkEnd w:id="14"/>
      <w:r w:rsidDel="00000000" w:rsidR="00000000" w:rsidRPr="00000000">
        <w:rPr>
          <w:rtl w:val="0"/>
        </w:rPr>
        <w:t xml:space="preserve">Tentative Outline by Date                                     </w:t>
        <w:tab/>
        <w:t xml:space="preserve">           </w:t>
        <w:tab/>
        <w:tab/>
        <w:t xml:space="preserve">           </w:t>
      </w:r>
    </w:p>
    <w:tbl>
      <w:tblPr>
        <w:tblStyle w:val="Table2"/>
        <w:tblW w:w="8880.0" w:type="dxa"/>
        <w:jc w:val="left"/>
        <w:tblInd w:w="100.0" w:type="pct"/>
        <w:tblLayout w:type="fixed"/>
        <w:tblLook w:val="0600"/>
      </w:tblPr>
      <w:tblGrid>
        <w:gridCol w:w="915"/>
        <w:gridCol w:w="720"/>
        <w:gridCol w:w="2985"/>
        <w:gridCol w:w="930"/>
        <w:gridCol w:w="3330"/>
        <w:tblGridChange w:id="0">
          <w:tblGrid>
            <w:gridCol w:w="915"/>
            <w:gridCol w:w="720"/>
            <w:gridCol w:w="2985"/>
            <w:gridCol w:w="930"/>
            <w:gridCol w:w="333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 Topic</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Homework and Quizzes  in MyEconLab. Due on date listed at 11:59 pm.</w:t>
            </w:r>
          </w:p>
        </w:tc>
      </w:tr>
      <w:tr>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1</w:t>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 24</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Foundations and Models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 26</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Trade-offs, Comparative Advantage, and the Market System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 30</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1</w:t>
            </w:r>
          </w:p>
          <w:p w:rsidR="00000000" w:rsidDel="00000000" w:rsidP="00000000" w:rsidRDefault="00000000" w:rsidRPr="00000000" w14:paraId="00000053">
            <w:pPr>
              <w:spacing w:line="240" w:lineRule="auto"/>
              <w:contextualSpacing w:val="0"/>
              <w:rPr/>
            </w:pPr>
            <w:r w:rsidDel="00000000" w:rsidR="00000000" w:rsidRPr="00000000">
              <w:rPr>
                <w:rFonts w:ascii="Times New Roman" w:cs="Times New Roman" w:eastAsia="Times New Roman" w:hAnsi="Times New Roman"/>
                <w:sz w:val="16"/>
                <w:szCs w:val="16"/>
                <w:rtl w:val="0"/>
              </w:rPr>
              <w:t xml:space="preserve">HW: Comparative Adv. Interactive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2</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1</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 Price Comes From:  The Interaction of Demand and Supply</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ind w:left="144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3</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 Price Comes From:  The Interaction of Demand and Supply</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2</w:t>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7</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3</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HW: Market Experiment Interactive</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3</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8</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Market Equilibrium (Ch. 3) and Elasticity:  The Responsiveness of Demand and Supply</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10</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Elasticity,  continued,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Times New Roman" w:cs="Times New Roman" w:eastAsia="Times New Roman" w:hAnsi="Times New Roman"/>
                <w:sz w:val="20"/>
                <w:szCs w:val="20"/>
                <w:rtl w:val="0"/>
              </w:rPr>
              <w:t xml:space="preserve">Ch.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14</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6</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HW: Elasticity Interactive</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4</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color w:val="0000ff"/>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15</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9">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Economic Efficiency, Gov. Price Setting, and Taxes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sz w:val="20"/>
                <w:szCs w:val="20"/>
                <w:rtl w:val="0"/>
              </w:rPr>
              <w:t xml:space="preserve">Ch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rPr>
          <w:trHeight w:val="320" w:hRule="atLeast"/>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17</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F">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Externalities, Environmental Policy, and Public Goods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21</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4</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5</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HW: Price Floors Experiment</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5</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22</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F">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Midterm (Chs. 1-6)</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24</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4">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spacing w:line="240" w:lineRule="auto"/>
              <w:contextualSpacing w:val="0"/>
              <w:rPr>
                <w:rFonts w:ascii="Times New Roman" w:cs="Times New Roman" w:eastAsia="Times New Roman" w:hAnsi="Times New Roman"/>
                <w:i w:val="1"/>
                <w:color w:val="38761d"/>
                <w:sz w:val="20"/>
                <w:szCs w:val="20"/>
              </w:rPr>
            </w:pPr>
            <w:r w:rsidDel="00000000" w:rsidR="00000000" w:rsidRPr="00000000">
              <w:rPr>
                <w:rFonts w:ascii="Times New Roman" w:cs="Times New Roman" w:eastAsia="Times New Roman" w:hAnsi="Times New Roman"/>
                <w:sz w:val="20"/>
                <w:szCs w:val="20"/>
                <w:rtl w:val="0"/>
              </w:rPr>
              <w:t xml:space="preserve">Consumer Choice - Utility Theory, Income &amp; Substitution Effects, Individual Demand Curve</w:t>
            </w:r>
            <w:r w:rsidDel="00000000" w:rsidR="00000000" w:rsidRPr="00000000">
              <w:rPr>
                <w:rtl w:val="0"/>
              </w:rPr>
            </w:r>
          </w:p>
          <w:p w:rsidR="00000000" w:rsidDel="00000000" w:rsidP="00000000" w:rsidRDefault="00000000" w:rsidRPr="00000000" w14:paraId="000000A6">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28</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A">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B">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10</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HW: Worksheet on Marginal Utility (due in class on Monday)</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6</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29</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color w:val="38761d"/>
                <w:sz w:val="20"/>
                <w:szCs w:val="20"/>
              </w:rPr>
            </w:pPr>
            <w:r w:rsidDel="00000000" w:rsidR="00000000" w:rsidRPr="00000000">
              <w:rPr>
                <w:rFonts w:ascii="Times New Roman" w:cs="Times New Roman" w:eastAsia="Times New Roman" w:hAnsi="Times New Roman"/>
                <w:sz w:val="20"/>
                <w:szCs w:val="20"/>
                <w:rtl w:val="0"/>
              </w:rPr>
              <w:t xml:space="preserve">Discuss Midterm / Technology, Production, and Cost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contextualSpacing w:val="0"/>
              <w:rPr>
                <w:rFonts w:ascii="Times New Roman" w:cs="Times New Roman" w:eastAsia="Times New Roman" w:hAnsi="Times New Roman"/>
                <w:sz w:val="16"/>
                <w:szCs w:val="16"/>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Oct 31</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A">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Firms in Perfectly Competitive Markets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C">
            <w:pPr>
              <w:spacing w:line="240" w:lineRule="auto"/>
              <w:contextualSpacing w:val="0"/>
              <w:rPr/>
            </w:pPr>
            <w:r w:rsidDel="00000000" w:rsidR="00000000" w:rsidRPr="00000000">
              <w:rPr>
                <w:rFonts w:ascii="Times New Roman" w:cs="Times New Roman" w:eastAsia="Times New Roman" w:hAnsi="Times New Roman"/>
                <w:sz w:val="20"/>
                <w:szCs w:val="20"/>
                <w:rtl w:val="0"/>
              </w:rPr>
              <w:t xml:space="preserve">Ch 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4</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11</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HW: Worksheet on Production Costs (due in class on Monday)</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7 </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5</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B">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Firms in Perfectly Competitive Markets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C">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contextualSpacing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7</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D0">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Monopolistic Competition:  The Competitive Model in a More Realistic Setting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11</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12</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13</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8</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12</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CLASS: Veteran’s Day observed.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spacing w:line="240" w:lineRule="auto"/>
              <w:contextualSpacing w:val="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14</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Oligopoly:  Firms in Less Competitive Markets (Game Theory)</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18</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spacing w:line="240" w:lineRule="auto"/>
              <w:contextualSpacing w:val="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HW: Podcast write-up (due in class on Monday)</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9</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19</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4">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Oligopoly:  Firms in Less Competitive Markets (Game Theory)</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6">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21</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9">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Monopoly and Antitrust Policy</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B">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25</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contextualSpacing w:val="0"/>
              <w:rPr/>
            </w:pPr>
            <w:r w:rsidDel="00000000" w:rsidR="00000000" w:rsidRPr="00000000">
              <w:rPr>
                <w:rFonts w:ascii="Times New Roman" w:cs="Times New Roman" w:eastAsia="Times New Roman" w:hAnsi="Times New Roman"/>
                <w:sz w:val="16"/>
                <w:szCs w:val="16"/>
                <w:rtl w:val="0"/>
              </w:rPr>
              <w:t xml:space="preserve">Quiz: Chapter 14</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10</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26</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15 continued and Ch. 16</w:t>
            </w:r>
          </w:p>
          <w:p w:rsidR="00000000" w:rsidDel="00000000" w:rsidP="00000000" w:rsidRDefault="00000000" w:rsidRPr="00000000" w14:paraId="0000010A">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Pricing Strategy (Price Discrimination)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15,</w:t>
            </w:r>
          </w:p>
          <w:p w:rsidR="00000000" w:rsidDel="00000000" w:rsidP="00000000" w:rsidRDefault="00000000" w:rsidRPr="00000000" w14:paraId="0000010C">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16"/>
                <w:szCs w:val="16"/>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 28</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10">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Make-up &amp; Review session for Final Exam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16"/>
                <w:szCs w:val="16"/>
                <w:shd w:fill="d9d9d9" w:val="clear"/>
              </w:rPr>
            </w:pPr>
            <w:r w:rsidDel="00000000" w:rsidR="00000000" w:rsidRPr="00000000">
              <w:rPr>
                <w:rFonts w:ascii="Times New Roman" w:cs="Times New Roman" w:eastAsia="Times New Roman" w:hAnsi="Times New Roman"/>
                <w:sz w:val="16"/>
                <w:szCs w:val="16"/>
                <w:shd w:fill="d9d9d9" w:val="clear"/>
                <w:rtl w:val="0"/>
              </w:rPr>
              <w:t xml:space="preserve">Week 11</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 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15</w:t>
            </w:r>
          </w:p>
          <w:p w:rsidR="00000000" w:rsidDel="00000000" w:rsidP="00000000" w:rsidRDefault="00000000" w:rsidRPr="00000000" w14:paraId="0000011E">
            <w:pPr>
              <w:widowControl w:val="0"/>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Quiz: Chapter 16</w:t>
            </w:r>
          </w:p>
          <w:p w:rsidR="00000000" w:rsidDel="00000000" w:rsidP="00000000" w:rsidRDefault="00000000" w:rsidRPr="00000000" w14:paraId="0000011F">
            <w:pPr>
              <w:widowControl w:val="0"/>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HW: Lemons Experiment</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 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Final Exam: Chs. 10-16</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8:00-10:00am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contextualSpacing w:val="0"/>
      <w:jc w:val="right"/>
      <w:rPr/>
    </w:pPr>
    <w:r w:rsidDel="00000000" w:rsidR="00000000" w:rsidRPr="00000000">
      <w:rPr>
        <w:color w:val="666666"/>
        <w:sz w:val="30"/>
        <w:szCs w:val="3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nbenton.edu/cfar" TargetMode="External"/><Relationship Id="rId7" Type="http://schemas.openxmlformats.org/officeDocument/2006/relationships/hyperlink" Target="http://www.linnbenton.edu/files/dmfile/STUDENT_RIGHTS_Handbook_Fall_2010_with_VOID_Statement___Replaced_Wording_OK_9_21_1012.pdf"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