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5E8" w:rsidRPr="00D444EC" w:rsidRDefault="006B4BB2" w:rsidP="006B4BB2">
      <w:pPr>
        <w:jc w:val="center"/>
        <w:rPr>
          <w:b/>
          <w:sz w:val="32"/>
          <w:szCs w:val="32"/>
        </w:rPr>
      </w:pPr>
      <w:r w:rsidRPr="00D444EC">
        <w:rPr>
          <w:b/>
          <w:sz w:val="32"/>
          <w:szCs w:val="32"/>
        </w:rPr>
        <w:t>NOTES FOR CIS125</w:t>
      </w:r>
    </w:p>
    <w:p w:rsidR="009F600A" w:rsidRPr="00D444EC" w:rsidRDefault="009F600A" w:rsidP="00D444EC">
      <w:pPr>
        <w:rPr>
          <w:b/>
          <w:i/>
          <w:color w:val="FF0000"/>
          <w:sz w:val="28"/>
          <w:szCs w:val="28"/>
        </w:rPr>
      </w:pPr>
      <w:r w:rsidRPr="00D444EC">
        <w:rPr>
          <w:b/>
          <w:i/>
          <w:color w:val="FF0000"/>
          <w:sz w:val="28"/>
          <w:szCs w:val="28"/>
        </w:rPr>
        <w:t>WORD:</w:t>
      </w:r>
    </w:p>
    <w:p w:rsidR="000074C7" w:rsidRPr="000074C7" w:rsidRDefault="000074C7" w:rsidP="009F600A">
      <w:pPr>
        <w:ind w:left="360"/>
        <w:rPr>
          <w:b/>
          <w:u w:val="single"/>
        </w:rPr>
      </w:pPr>
      <w:r w:rsidRPr="000074C7">
        <w:rPr>
          <w:b/>
          <w:u w:val="single"/>
        </w:rPr>
        <w:t>Chapter 3</w:t>
      </w:r>
    </w:p>
    <w:p w:rsidR="00F62DC1" w:rsidRDefault="00F62DC1" w:rsidP="009F600A">
      <w:pPr>
        <w:pStyle w:val="ListParagraph"/>
        <w:numPr>
          <w:ilvl w:val="0"/>
          <w:numId w:val="1"/>
        </w:numPr>
      </w:pPr>
      <w:r>
        <w:t>On Project 3F Step 2 the second paragraph of directions, make sure</w:t>
      </w:r>
      <w:r w:rsidR="000074C7">
        <w:t xml:space="preserve"> to</w:t>
      </w:r>
      <w:r>
        <w:t xml:space="preserve"> select the empty paragraph mark at the end of the document too.</w:t>
      </w:r>
    </w:p>
    <w:p w:rsidR="00CA35F1" w:rsidRDefault="00CA35F1" w:rsidP="00CA35F1">
      <w:pPr>
        <w:pStyle w:val="ListParagraph"/>
      </w:pPr>
    </w:p>
    <w:p w:rsidR="00CA35F1" w:rsidRPr="00D444EC" w:rsidRDefault="00CA35F1" w:rsidP="009F600A">
      <w:pPr>
        <w:pStyle w:val="ListParagraph"/>
        <w:numPr>
          <w:ilvl w:val="0"/>
          <w:numId w:val="1"/>
        </w:numPr>
      </w:pPr>
      <w:r>
        <w:t>On the Grader Project,</w:t>
      </w:r>
      <w:r w:rsidR="00D444EC">
        <w:t xml:space="preserve"> Step 7,</w:t>
      </w:r>
      <w:r>
        <w:t xml:space="preserve"> when it states to “</w:t>
      </w:r>
      <w:r>
        <w:rPr>
          <w:rFonts w:ascii="Tahoma" w:hAnsi="Tahoma" w:cs="Tahoma"/>
          <w:sz w:val="18"/>
          <w:szCs w:val="18"/>
        </w:rPr>
        <w:t xml:space="preserve">Lock the anchor of the clipart to the paragraph that starts with </w:t>
      </w:r>
      <w:r w:rsidRPr="0011412D">
        <w:rPr>
          <w:rFonts w:ascii="Tahoma" w:hAnsi="Tahoma" w:cs="Tahoma"/>
          <w:i/>
          <w:sz w:val="18"/>
          <w:szCs w:val="18"/>
        </w:rPr>
        <w:t>Memphis</w:t>
      </w:r>
      <w:r>
        <w:rPr>
          <w:rFonts w:ascii="Tahoma" w:hAnsi="Tahoma" w:cs="Tahoma"/>
          <w:sz w:val="18"/>
          <w:szCs w:val="18"/>
        </w:rPr>
        <w:t>”</w:t>
      </w:r>
      <w:proofErr w:type="gramStart"/>
      <w:r>
        <w:rPr>
          <w:rFonts w:ascii="Tahoma" w:hAnsi="Tahoma" w:cs="Tahoma"/>
          <w:sz w:val="18"/>
          <w:szCs w:val="18"/>
        </w:rPr>
        <w:t>,</w:t>
      </w:r>
      <w:proofErr w:type="gramEnd"/>
      <w:r>
        <w:rPr>
          <w:rFonts w:ascii="Tahoma" w:hAnsi="Tahoma" w:cs="Tahoma"/>
          <w:sz w:val="18"/>
          <w:szCs w:val="18"/>
        </w:rPr>
        <w:t xml:space="preserve"> just drag the anchor to the beginning of that paragraph if it is not already there.</w:t>
      </w:r>
    </w:p>
    <w:p w:rsidR="00D444EC" w:rsidRDefault="00D444EC" w:rsidP="00D444EC">
      <w:pPr>
        <w:pStyle w:val="ListParagraph"/>
      </w:pPr>
    </w:p>
    <w:p w:rsidR="00D444EC" w:rsidRPr="000074C7" w:rsidRDefault="00D444EC" w:rsidP="009F600A">
      <w:pPr>
        <w:pStyle w:val="ListParagraph"/>
        <w:numPr>
          <w:ilvl w:val="0"/>
          <w:numId w:val="1"/>
        </w:numPr>
      </w:pPr>
      <w:r>
        <w:t>On Project 3D (company newsletter), if you can’t find the three green arrowed clipart, use one similar.</w:t>
      </w:r>
    </w:p>
    <w:p w:rsidR="000074C7" w:rsidRDefault="000074C7" w:rsidP="000074C7">
      <w:pPr>
        <w:pStyle w:val="ListParagraph"/>
      </w:pPr>
    </w:p>
    <w:p w:rsidR="000074C7" w:rsidRDefault="00E43C8D" w:rsidP="00E43C8D">
      <w:pPr>
        <w:ind w:firstLine="360"/>
      </w:pPr>
      <w:r>
        <w:rPr>
          <w:b/>
          <w:u w:val="single"/>
        </w:rPr>
        <w:t>Chapter 4</w:t>
      </w:r>
    </w:p>
    <w:p w:rsidR="00E43C8D" w:rsidRDefault="00E43C8D" w:rsidP="00E43C8D">
      <w:pPr>
        <w:pStyle w:val="ListParagraph"/>
        <w:numPr>
          <w:ilvl w:val="0"/>
          <w:numId w:val="2"/>
        </w:numPr>
      </w:pPr>
      <w:r>
        <w:t xml:space="preserve">In </w:t>
      </w:r>
      <w:proofErr w:type="spellStart"/>
      <w:r>
        <w:t>MyITLab</w:t>
      </w:r>
      <w:proofErr w:type="spellEnd"/>
      <w:r>
        <w:t>, 4B Skill-Based Training</w:t>
      </w:r>
      <w:r w:rsidR="00D444EC">
        <w:t xml:space="preserve"> &amp; Exam,</w:t>
      </w:r>
      <w:r>
        <w:t xml:space="preserve"> Act. 4.20</w:t>
      </w:r>
      <w:r w:rsidR="00D444EC">
        <w:t>, you</w:t>
      </w:r>
      <w:r>
        <w:t xml:space="preserve"> </w:t>
      </w:r>
      <w:r w:rsidR="00105CCA">
        <w:t>must click in the chart first</w:t>
      </w:r>
      <w:r>
        <w:t>.</w:t>
      </w:r>
      <w:r w:rsidR="0031623D">
        <w:t xml:space="preserve">  </w:t>
      </w:r>
    </w:p>
    <w:p w:rsidR="00235A3C" w:rsidRDefault="00235A3C" w:rsidP="00235A3C"/>
    <w:p w:rsidR="00235A3C" w:rsidRPr="00D444EC" w:rsidRDefault="00235A3C" w:rsidP="00D444EC">
      <w:pPr>
        <w:rPr>
          <w:b/>
          <w:i/>
          <w:color w:val="FF0000"/>
          <w:sz w:val="28"/>
          <w:szCs w:val="28"/>
        </w:rPr>
      </w:pPr>
      <w:r w:rsidRPr="00D444EC">
        <w:rPr>
          <w:b/>
          <w:i/>
          <w:color w:val="FF0000"/>
          <w:sz w:val="28"/>
          <w:szCs w:val="28"/>
        </w:rPr>
        <w:t>EXCEL:</w:t>
      </w:r>
    </w:p>
    <w:p w:rsidR="00235A3C" w:rsidRDefault="00235A3C" w:rsidP="00235A3C">
      <w:pPr>
        <w:ind w:left="360"/>
      </w:pPr>
      <w:r>
        <w:rPr>
          <w:b/>
          <w:u w:val="single"/>
        </w:rPr>
        <w:t>Chapter 2</w:t>
      </w:r>
    </w:p>
    <w:p w:rsidR="00235A3C" w:rsidRDefault="00235A3C" w:rsidP="00235A3C">
      <w:pPr>
        <w:pStyle w:val="ListParagraph"/>
        <w:numPr>
          <w:ilvl w:val="0"/>
          <w:numId w:val="4"/>
        </w:numPr>
      </w:pPr>
      <w:r>
        <w:t xml:space="preserve">P. </w:t>
      </w:r>
      <w:r w:rsidR="00D444EC">
        <w:t>212</w:t>
      </w:r>
      <w:r>
        <w:t>, Step 5 – in the 5</w:t>
      </w:r>
      <w:r w:rsidRPr="00235A3C">
        <w:rPr>
          <w:vertAlign w:val="superscript"/>
        </w:rPr>
        <w:t>th</w:t>
      </w:r>
      <w:r>
        <w:t xml:space="preserve"> sentence it should say E4, not E5.</w:t>
      </w:r>
    </w:p>
    <w:p w:rsidR="00B02DFB" w:rsidRPr="00B02DFB" w:rsidRDefault="00B02DFB" w:rsidP="00B02DFB">
      <w:pPr>
        <w:pStyle w:val="ListParagraph"/>
        <w:numPr>
          <w:ilvl w:val="0"/>
          <w:numId w:val="4"/>
        </w:numPr>
      </w:pPr>
      <w:r>
        <w:t>For column widths, a</w:t>
      </w:r>
      <w:r w:rsidRPr="00B02DFB">
        <w:t>n approximate conversion of points and pixels to inches is shown in the following table.</w:t>
      </w:r>
    </w:p>
    <w:tbl>
      <w:tblPr>
        <w:tblpPr w:leftFromText="180" w:rightFromText="180" w:vertAnchor="page" w:horzAnchor="page" w:tblpX="1546" w:tblpY="5686"/>
        <w:tblW w:w="25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8"/>
        <w:gridCol w:w="830"/>
        <w:gridCol w:w="868"/>
      </w:tblGrid>
      <w:tr w:rsidR="00D444EC" w:rsidRPr="00B02DFB" w:rsidTr="00D444EC">
        <w:trPr>
          <w:trHeight w:val="20"/>
        </w:trPr>
        <w:tc>
          <w:tcPr>
            <w:tcW w:w="858" w:type="dxa"/>
            <w:tcBorders>
              <w:top w:val="single" w:sz="6" w:space="0" w:color="A4A4A4"/>
              <w:bottom w:val="single" w:sz="6" w:space="0" w:color="A4A4A4"/>
            </w:tcBorders>
            <w:shd w:val="clear" w:color="auto" w:fill="D8D8D8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aps/>
                <w:color w:val="333333"/>
                <w:sz w:val="17"/>
                <w:szCs w:val="17"/>
              </w:rPr>
            </w:pPr>
            <w:r w:rsidRPr="00B02DFB">
              <w:rPr>
                <w:rFonts w:ascii="Arial" w:eastAsia="Times New Roman" w:hAnsi="Arial" w:cs="Arial"/>
                <w:b/>
                <w:bCs/>
                <w:caps/>
                <w:color w:val="333333"/>
                <w:sz w:val="17"/>
                <w:szCs w:val="17"/>
              </w:rPr>
              <w:t>Points</w:t>
            </w:r>
          </w:p>
        </w:tc>
        <w:tc>
          <w:tcPr>
            <w:tcW w:w="830" w:type="dxa"/>
            <w:tcBorders>
              <w:top w:val="single" w:sz="6" w:space="0" w:color="A4A4A4"/>
              <w:bottom w:val="single" w:sz="6" w:space="0" w:color="A4A4A4"/>
            </w:tcBorders>
            <w:shd w:val="clear" w:color="auto" w:fill="D8D8D8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aps/>
                <w:color w:val="333333"/>
                <w:sz w:val="17"/>
                <w:szCs w:val="17"/>
              </w:rPr>
            </w:pPr>
            <w:r w:rsidRPr="00B02DFB">
              <w:rPr>
                <w:rFonts w:ascii="Arial" w:eastAsia="Times New Roman" w:hAnsi="Arial" w:cs="Arial"/>
                <w:b/>
                <w:bCs/>
                <w:caps/>
                <w:color w:val="333333"/>
                <w:sz w:val="17"/>
                <w:szCs w:val="17"/>
              </w:rPr>
              <w:t>Pixels</w:t>
            </w:r>
          </w:p>
        </w:tc>
        <w:tc>
          <w:tcPr>
            <w:tcW w:w="868" w:type="dxa"/>
            <w:tcBorders>
              <w:top w:val="single" w:sz="6" w:space="0" w:color="A4A4A4"/>
              <w:bottom w:val="single" w:sz="6" w:space="0" w:color="A4A4A4"/>
            </w:tcBorders>
            <w:shd w:val="clear" w:color="auto" w:fill="D8D8D8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aps/>
                <w:color w:val="333333"/>
                <w:sz w:val="17"/>
                <w:szCs w:val="17"/>
              </w:rPr>
            </w:pPr>
            <w:r w:rsidRPr="00B02DFB">
              <w:rPr>
                <w:rFonts w:ascii="Arial" w:eastAsia="Times New Roman" w:hAnsi="Arial" w:cs="Arial"/>
                <w:b/>
                <w:bCs/>
                <w:caps/>
                <w:color w:val="333333"/>
                <w:sz w:val="17"/>
                <w:szCs w:val="17"/>
              </w:rPr>
              <w:t>Inches</w:t>
            </w:r>
          </w:p>
        </w:tc>
      </w:tr>
      <w:tr w:rsidR="00D444EC" w:rsidRPr="00B02DFB" w:rsidTr="00D444EC">
        <w:trPr>
          <w:trHeight w:val="20"/>
        </w:trPr>
        <w:tc>
          <w:tcPr>
            <w:tcW w:w="85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18</w:t>
            </w: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24</w:t>
            </w:r>
          </w:p>
        </w:tc>
        <w:tc>
          <w:tcPr>
            <w:tcW w:w="8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.25</w:t>
            </w:r>
          </w:p>
        </w:tc>
      </w:tr>
      <w:tr w:rsidR="00D444EC" w:rsidRPr="00B02DFB" w:rsidTr="00D444EC">
        <w:trPr>
          <w:trHeight w:val="20"/>
        </w:trPr>
        <w:tc>
          <w:tcPr>
            <w:tcW w:w="858" w:type="dxa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36</w:t>
            </w:r>
          </w:p>
        </w:tc>
        <w:tc>
          <w:tcPr>
            <w:tcW w:w="830" w:type="dxa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48</w:t>
            </w:r>
          </w:p>
        </w:tc>
        <w:tc>
          <w:tcPr>
            <w:tcW w:w="868" w:type="dxa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.5</w:t>
            </w:r>
          </w:p>
        </w:tc>
      </w:tr>
      <w:tr w:rsidR="00D444EC" w:rsidRPr="00B02DFB" w:rsidTr="00D444EC">
        <w:trPr>
          <w:trHeight w:val="20"/>
        </w:trPr>
        <w:tc>
          <w:tcPr>
            <w:tcW w:w="85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72</w:t>
            </w: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96</w:t>
            </w:r>
          </w:p>
        </w:tc>
        <w:tc>
          <w:tcPr>
            <w:tcW w:w="8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1</w:t>
            </w:r>
          </w:p>
        </w:tc>
      </w:tr>
      <w:tr w:rsidR="00D444EC" w:rsidRPr="00B02DFB" w:rsidTr="00D444EC">
        <w:trPr>
          <w:trHeight w:val="20"/>
        </w:trPr>
        <w:tc>
          <w:tcPr>
            <w:tcW w:w="858" w:type="dxa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108</w:t>
            </w:r>
          </w:p>
        </w:tc>
        <w:tc>
          <w:tcPr>
            <w:tcW w:w="830" w:type="dxa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144</w:t>
            </w:r>
          </w:p>
        </w:tc>
        <w:tc>
          <w:tcPr>
            <w:tcW w:w="868" w:type="dxa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1.5</w:t>
            </w:r>
          </w:p>
        </w:tc>
      </w:tr>
      <w:tr w:rsidR="00D444EC" w:rsidRPr="00B02DFB" w:rsidTr="00D444EC">
        <w:trPr>
          <w:trHeight w:val="20"/>
        </w:trPr>
        <w:tc>
          <w:tcPr>
            <w:tcW w:w="85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144</w:t>
            </w: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192</w:t>
            </w:r>
          </w:p>
        </w:tc>
        <w:tc>
          <w:tcPr>
            <w:tcW w:w="8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44EC" w:rsidRPr="00B02DFB" w:rsidRDefault="00D444EC" w:rsidP="00D444EC">
            <w:pPr>
              <w:spacing w:after="120"/>
              <w:rPr>
                <w:rFonts w:ascii="Arial" w:eastAsia="Times New Roman" w:hAnsi="Arial" w:cs="Arial"/>
                <w:color w:val="454545"/>
                <w:sz w:val="15"/>
                <w:szCs w:val="15"/>
              </w:rPr>
            </w:pPr>
            <w:r w:rsidRPr="00B02DFB">
              <w:rPr>
                <w:rFonts w:ascii="Arial" w:eastAsia="Times New Roman" w:hAnsi="Arial" w:cs="Arial"/>
                <w:color w:val="454545"/>
                <w:sz w:val="15"/>
                <w:szCs w:val="15"/>
              </w:rPr>
              <w:t>2</w:t>
            </w:r>
          </w:p>
        </w:tc>
      </w:tr>
    </w:tbl>
    <w:p w:rsidR="00B02DFB" w:rsidRDefault="00B02DFB" w:rsidP="00B02DFB"/>
    <w:p w:rsidR="00B02DFB" w:rsidRDefault="00B02DFB" w:rsidP="00B02DFB"/>
    <w:p w:rsidR="00B02DFB" w:rsidRDefault="00B02DFB" w:rsidP="00B02DFB"/>
    <w:p w:rsidR="00B02DFB" w:rsidRDefault="00B02DFB" w:rsidP="00B02DFB"/>
    <w:p w:rsidR="00B02DFB" w:rsidRDefault="00B02DFB" w:rsidP="00B02DFB"/>
    <w:p w:rsidR="00B02DFB" w:rsidRDefault="00B02DFB" w:rsidP="00B02DFB"/>
    <w:p w:rsidR="00B02DFB" w:rsidRDefault="00B02DFB" w:rsidP="00B02DFB"/>
    <w:p w:rsidR="00B02DFB" w:rsidRDefault="00B02DFB" w:rsidP="00B02DFB"/>
    <w:p w:rsidR="00D444EC" w:rsidRPr="00D444EC" w:rsidRDefault="00D444EC" w:rsidP="00D444EC">
      <w:pPr>
        <w:ind w:firstLine="360"/>
        <w:rPr>
          <w:b/>
        </w:rPr>
      </w:pPr>
      <w:r>
        <w:rPr>
          <w:b/>
          <w:u w:val="single"/>
        </w:rPr>
        <w:t>Chapter 4</w:t>
      </w:r>
    </w:p>
    <w:p w:rsidR="00031443" w:rsidRDefault="00D444EC" w:rsidP="00D444EC">
      <w:pPr>
        <w:pStyle w:val="ListParagraph"/>
        <w:numPr>
          <w:ilvl w:val="0"/>
          <w:numId w:val="8"/>
        </w:numPr>
      </w:pPr>
      <w:r>
        <w:t>For Ch. 4B, p. 351, Step 2, the Magazine Costs range should be B15:E16, not B15:B16.</w:t>
      </w:r>
    </w:p>
    <w:p w:rsidR="00D444EC" w:rsidRDefault="00D444EC" w:rsidP="00D444EC"/>
    <w:p w:rsidR="00D444EC" w:rsidRPr="00D444EC" w:rsidRDefault="00D444EC" w:rsidP="00D444EC">
      <w:pPr>
        <w:pStyle w:val="ListParagraph"/>
        <w:numPr>
          <w:ilvl w:val="0"/>
          <w:numId w:val="8"/>
        </w:numPr>
      </w:pPr>
      <w:r>
        <w:t xml:space="preserve">Ch. 4 on Activity 4.12 and the </w:t>
      </w:r>
      <w:proofErr w:type="spellStart"/>
      <w:r>
        <w:t>VLookup</w:t>
      </w:r>
      <w:proofErr w:type="spellEnd"/>
      <w:r>
        <w:t xml:space="preserve"> Function, you must drag over your selection always when in the simulation rather than typing in the cells or the name of the range.</w:t>
      </w:r>
    </w:p>
    <w:p w:rsidR="00031443" w:rsidRPr="00D444EC" w:rsidRDefault="00031443" w:rsidP="00D444EC"/>
    <w:p w:rsidR="00F61530" w:rsidRPr="00D444EC" w:rsidRDefault="00F61530" w:rsidP="00D444EC">
      <w:pPr>
        <w:rPr>
          <w:b/>
          <w:i/>
          <w:color w:val="FF0000"/>
          <w:sz w:val="28"/>
          <w:szCs w:val="28"/>
        </w:rPr>
      </w:pPr>
      <w:r w:rsidRPr="00D444EC">
        <w:rPr>
          <w:b/>
          <w:i/>
          <w:color w:val="FF0000"/>
          <w:sz w:val="28"/>
          <w:szCs w:val="28"/>
        </w:rPr>
        <w:t>PPT:</w:t>
      </w:r>
    </w:p>
    <w:p w:rsidR="00F61530" w:rsidRDefault="00EA63A1" w:rsidP="00EA63A1">
      <w:pPr>
        <w:pStyle w:val="ListParagraph"/>
        <w:numPr>
          <w:ilvl w:val="0"/>
          <w:numId w:val="5"/>
        </w:numPr>
      </w:pPr>
      <w:r w:rsidRPr="00EA63A1">
        <w:t xml:space="preserve">In general, in </w:t>
      </w:r>
      <w:proofErr w:type="spellStart"/>
      <w:r w:rsidRPr="00EA63A1">
        <w:t>MyITLab</w:t>
      </w:r>
      <w:proofErr w:type="spellEnd"/>
      <w:r w:rsidRPr="00EA63A1">
        <w:t xml:space="preserve"> go slow with PPT and make sure you let it complete the preview before attempting to continue a task.</w:t>
      </w:r>
    </w:p>
    <w:p w:rsidR="00D444EC" w:rsidRDefault="00D444EC" w:rsidP="00D444EC">
      <w:pPr>
        <w:pStyle w:val="ListParagraph"/>
      </w:pPr>
    </w:p>
    <w:p w:rsidR="00D444EC" w:rsidRDefault="00D444EC" w:rsidP="00EA63A1">
      <w:pPr>
        <w:pStyle w:val="ListParagraph"/>
        <w:numPr>
          <w:ilvl w:val="0"/>
          <w:numId w:val="5"/>
        </w:numPr>
      </w:pPr>
      <w:r>
        <w:t>Ch. 2, 2E, pp. 406-407 use the roller coaster picture closest to the one shown.</w:t>
      </w:r>
    </w:p>
    <w:p w:rsidR="00D444EC" w:rsidRDefault="00D444EC" w:rsidP="00D444EC">
      <w:pPr>
        <w:pStyle w:val="ListParagraph"/>
      </w:pPr>
    </w:p>
    <w:p w:rsidR="00D444EC" w:rsidRDefault="00D444EC" w:rsidP="00EA63A1">
      <w:pPr>
        <w:pStyle w:val="ListParagraph"/>
        <w:numPr>
          <w:ilvl w:val="0"/>
          <w:numId w:val="5"/>
        </w:numPr>
      </w:pPr>
      <w:r>
        <w:t>Ch. 2, 2F, p. 409, Step 2, if you can’t find the Vertical Bracket List, use the Vertical Block List.</w:t>
      </w:r>
    </w:p>
    <w:p w:rsidR="00D444EC" w:rsidRDefault="00D444EC" w:rsidP="00D444EC">
      <w:pPr>
        <w:pStyle w:val="ListParagraph"/>
      </w:pPr>
    </w:p>
    <w:p w:rsidR="00D444EC" w:rsidRPr="00EA63A1" w:rsidRDefault="00D444EC" w:rsidP="00EA63A1">
      <w:pPr>
        <w:pStyle w:val="ListParagraph"/>
        <w:numPr>
          <w:ilvl w:val="0"/>
          <w:numId w:val="5"/>
        </w:numPr>
      </w:pPr>
      <w:r>
        <w:t>Chapter 2 errors on the test:</w:t>
      </w:r>
    </w:p>
    <w:p w:rsidR="00D444EC" w:rsidRDefault="00D444EC" w:rsidP="00D444EC">
      <w:pPr>
        <w:pStyle w:val="ListParagraph"/>
        <w:numPr>
          <w:ilvl w:val="1"/>
          <w:numId w:val="5"/>
        </w:numPr>
      </w:pPr>
      <w:r>
        <w:t xml:space="preserve">Activity 2.12 in </w:t>
      </w:r>
      <w:proofErr w:type="spellStart"/>
      <w:r>
        <w:t>MyITLab</w:t>
      </w:r>
      <w:proofErr w:type="spellEnd"/>
      <w:r>
        <w:t xml:space="preserve"> says to change the </w:t>
      </w:r>
      <w:r>
        <w:rPr>
          <w:u w:val="single"/>
        </w:rPr>
        <w:t>shape</w:t>
      </w:r>
      <w:r>
        <w:t xml:space="preserve"> effect, but you actually have to change the </w:t>
      </w:r>
      <w:r>
        <w:rPr>
          <w:u w:val="single"/>
        </w:rPr>
        <w:t>picture</w:t>
      </w:r>
      <w:r>
        <w:t xml:space="preserve"> effect.</w:t>
      </w:r>
    </w:p>
    <w:p w:rsidR="00D444EC" w:rsidRDefault="00D444EC" w:rsidP="00D444EC">
      <w:pPr>
        <w:pStyle w:val="ListParagraph"/>
        <w:numPr>
          <w:ilvl w:val="1"/>
          <w:numId w:val="5"/>
        </w:numPr>
      </w:pPr>
      <w:r>
        <w:t xml:space="preserve">Activity 3.14 in </w:t>
      </w:r>
      <w:proofErr w:type="spellStart"/>
      <w:r>
        <w:t>MyITLab</w:t>
      </w:r>
      <w:proofErr w:type="spellEnd"/>
      <w:r>
        <w:t xml:space="preserve"> states to change the Themed Style and states 2</w:t>
      </w:r>
      <w:r w:rsidRPr="00D444EC">
        <w:rPr>
          <w:vertAlign w:val="superscript"/>
        </w:rPr>
        <w:t>nd</w:t>
      </w:r>
      <w:r>
        <w:t xml:space="preserve"> column, 2</w:t>
      </w:r>
      <w:r w:rsidRPr="00D444EC">
        <w:rPr>
          <w:vertAlign w:val="superscript"/>
        </w:rPr>
        <w:t>nd</w:t>
      </w:r>
      <w:r>
        <w:t xml:space="preserve"> row when it is actually 2</w:t>
      </w:r>
      <w:r w:rsidRPr="00D444EC">
        <w:rPr>
          <w:vertAlign w:val="superscript"/>
        </w:rPr>
        <w:t>nd</w:t>
      </w:r>
      <w:r>
        <w:t xml:space="preserve"> column, 1</w:t>
      </w:r>
      <w:r w:rsidRPr="00D444EC">
        <w:rPr>
          <w:vertAlign w:val="superscript"/>
        </w:rPr>
        <w:t>st</w:t>
      </w:r>
      <w:r>
        <w:t xml:space="preserve"> row—just be sure to read the description of the style when hovering over it.</w:t>
      </w:r>
    </w:p>
    <w:p w:rsidR="00031443" w:rsidRDefault="00031443" w:rsidP="00F61530">
      <w:pPr>
        <w:ind w:left="360"/>
        <w:rPr>
          <w:b/>
          <w:u w:val="single"/>
        </w:rPr>
      </w:pPr>
    </w:p>
    <w:p w:rsidR="00F61530" w:rsidRDefault="00F61530" w:rsidP="00F61530">
      <w:pPr>
        <w:ind w:left="360"/>
        <w:rPr>
          <w:b/>
        </w:rPr>
      </w:pPr>
      <w:r w:rsidRPr="00F61530">
        <w:rPr>
          <w:b/>
          <w:u w:val="single"/>
        </w:rPr>
        <w:t>Chapter 3</w:t>
      </w:r>
    </w:p>
    <w:p w:rsidR="00F61530" w:rsidRDefault="00F61530" w:rsidP="00F61530">
      <w:pPr>
        <w:pStyle w:val="ListParagraph"/>
        <w:numPr>
          <w:ilvl w:val="0"/>
          <w:numId w:val="5"/>
        </w:numPr>
      </w:pPr>
      <w:r w:rsidRPr="00F61530">
        <w:t xml:space="preserve">On Skill-based exam, </w:t>
      </w:r>
      <w:r>
        <w:t xml:space="preserve">Act 3.17 </w:t>
      </w:r>
      <w:proofErr w:type="gramStart"/>
      <w:r>
        <w:t>go</w:t>
      </w:r>
      <w:proofErr w:type="gramEnd"/>
      <w:r>
        <w:t xml:space="preserve"> slowly</w:t>
      </w:r>
      <w:r w:rsidR="00B306A8">
        <w:t xml:space="preserve"> and allow the preview to complete before continuing</w:t>
      </w:r>
      <w:r>
        <w:t>.</w:t>
      </w:r>
    </w:p>
    <w:p w:rsidR="00D444EC" w:rsidRDefault="0036275D" w:rsidP="00D444EC">
      <w:pPr>
        <w:pStyle w:val="ListParagraph"/>
        <w:numPr>
          <w:ilvl w:val="0"/>
          <w:numId w:val="5"/>
        </w:numPr>
      </w:pPr>
      <w:r>
        <w:t xml:space="preserve">Ch. 3 Grader Project, Step 2 should say “change the theme to </w:t>
      </w:r>
      <w:proofErr w:type="spellStart"/>
      <w:r>
        <w:t>Apothocary</w:t>
      </w:r>
      <w:proofErr w:type="spellEnd"/>
      <w:r>
        <w:t>”, not the Theme F</w:t>
      </w:r>
      <w:bookmarkStart w:id="0" w:name="_GoBack"/>
      <w:bookmarkEnd w:id="0"/>
      <w:r>
        <w:t>ont.</w:t>
      </w:r>
    </w:p>
    <w:p w:rsidR="00D444EC" w:rsidRDefault="00D444EC" w:rsidP="00F61530">
      <w:pPr>
        <w:pStyle w:val="ListParagraph"/>
        <w:numPr>
          <w:ilvl w:val="0"/>
          <w:numId w:val="5"/>
        </w:numPr>
      </w:pPr>
      <w:r>
        <w:t>Ch. 3 Grader Project, Step 15, should say 00:05.550. It may still mark you wrong, if so, notify your instructor.</w:t>
      </w:r>
    </w:p>
    <w:p w:rsidR="00D444EC" w:rsidRDefault="00D444EC" w:rsidP="00D444EC">
      <w:pPr>
        <w:pStyle w:val="ListParagraph"/>
      </w:pPr>
    </w:p>
    <w:p w:rsidR="00D444EC" w:rsidRDefault="00D444EC" w:rsidP="00D444EC">
      <w:pPr>
        <w:ind w:left="360"/>
      </w:pPr>
      <w:r>
        <w:rPr>
          <w:b/>
          <w:u w:val="single"/>
        </w:rPr>
        <w:t>Chapter 4</w:t>
      </w:r>
    </w:p>
    <w:p w:rsidR="00F61530" w:rsidRDefault="00D444EC" w:rsidP="00906884">
      <w:pPr>
        <w:pStyle w:val="ListParagraph"/>
        <w:numPr>
          <w:ilvl w:val="0"/>
          <w:numId w:val="9"/>
        </w:numPr>
      </w:pPr>
      <w:r>
        <w:t>On 4E, Step 2, p. 535, if you don’t have the Decatur theme, you can download if from Office.com.</w:t>
      </w:r>
    </w:p>
    <w:sectPr w:rsidR="00F61530" w:rsidSect="00D444EC">
      <w:footerReference w:type="default" r:id="rId8"/>
      <w:pgSz w:w="12240" w:h="15840" w:code="1"/>
      <w:pgMar w:top="432" w:right="432" w:bottom="432" w:left="43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4EC" w:rsidRDefault="00D444EC" w:rsidP="00D444EC">
      <w:r>
        <w:separator/>
      </w:r>
    </w:p>
  </w:endnote>
  <w:endnote w:type="continuationSeparator" w:id="0">
    <w:p w:rsidR="00D444EC" w:rsidRDefault="00D444EC" w:rsidP="00D44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4EC" w:rsidRPr="00D444EC" w:rsidRDefault="00D444EC">
    <w:pPr>
      <w:pStyle w:val="Footer"/>
      <w:rPr>
        <w:sz w:val="18"/>
        <w:szCs w:val="18"/>
      </w:rPr>
    </w:pPr>
    <w:r>
      <w:tab/>
    </w:r>
    <w:r>
      <w:tab/>
    </w:r>
    <w:r w:rsidRPr="00D444EC">
      <w:rPr>
        <w:sz w:val="18"/>
        <w:szCs w:val="18"/>
      </w:rPr>
      <w:t xml:space="preserve">Revised </w:t>
    </w:r>
    <w:r w:rsidR="0036275D">
      <w:rPr>
        <w:sz w:val="18"/>
        <w:szCs w:val="18"/>
      </w:rPr>
      <w:t>12/11/13</w:t>
    </w:r>
  </w:p>
  <w:p w:rsidR="00D444EC" w:rsidRDefault="00D444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4EC" w:rsidRDefault="00D444EC" w:rsidP="00D444EC">
      <w:r>
        <w:separator/>
      </w:r>
    </w:p>
  </w:footnote>
  <w:footnote w:type="continuationSeparator" w:id="0">
    <w:p w:rsidR="00D444EC" w:rsidRDefault="00D444EC" w:rsidP="00D44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0FE1"/>
    <w:multiLevelType w:val="hybridMultilevel"/>
    <w:tmpl w:val="C20CE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A56B8"/>
    <w:multiLevelType w:val="hybridMultilevel"/>
    <w:tmpl w:val="4B3A4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32257"/>
    <w:multiLevelType w:val="hybridMultilevel"/>
    <w:tmpl w:val="BAB44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212B0E"/>
    <w:multiLevelType w:val="hybridMultilevel"/>
    <w:tmpl w:val="D41CC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8F1D01"/>
    <w:multiLevelType w:val="hybridMultilevel"/>
    <w:tmpl w:val="CDE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E72C6"/>
    <w:multiLevelType w:val="hybridMultilevel"/>
    <w:tmpl w:val="A7D88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66B59"/>
    <w:multiLevelType w:val="hybridMultilevel"/>
    <w:tmpl w:val="1BE0C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4C2E4E"/>
    <w:multiLevelType w:val="hybridMultilevel"/>
    <w:tmpl w:val="3C285D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A597E77"/>
    <w:multiLevelType w:val="hybridMultilevel"/>
    <w:tmpl w:val="E5B27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BB2"/>
    <w:rsid w:val="000074C7"/>
    <w:rsid w:val="00031443"/>
    <w:rsid w:val="000430C4"/>
    <w:rsid w:val="000F0415"/>
    <w:rsid w:val="00105CCA"/>
    <w:rsid w:val="00146E1B"/>
    <w:rsid w:val="00180F02"/>
    <w:rsid w:val="00235A3C"/>
    <w:rsid w:val="0031623D"/>
    <w:rsid w:val="0036275D"/>
    <w:rsid w:val="005639F8"/>
    <w:rsid w:val="00602F33"/>
    <w:rsid w:val="006B4BB2"/>
    <w:rsid w:val="0072784F"/>
    <w:rsid w:val="00906884"/>
    <w:rsid w:val="009F600A"/>
    <w:rsid w:val="00B02DFB"/>
    <w:rsid w:val="00B306A8"/>
    <w:rsid w:val="00B613DF"/>
    <w:rsid w:val="00CA35F1"/>
    <w:rsid w:val="00CB2BF0"/>
    <w:rsid w:val="00D444EC"/>
    <w:rsid w:val="00D83519"/>
    <w:rsid w:val="00E43C8D"/>
    <w:rsid w:val="00EA63A1"/>
    <w:rsid w:val="00ED2ADE"/>
    <w:rsid w:val="00F125E8"/>
    <w:rsid w:val="00F61530"/>
    <w:rsid w:val="00F62DC1"/>
    <w:rsid w:val="00FA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3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02D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444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4EC"/>
  </w:style>
  <w:style w:type="paragraph" w:styleId="Footer">
    <w:name w:val="footer"/>
    <w:basedOn w:val="Normal"/>
    <w:link w:val="FooterChar"/>
    <w:uiPriority w:val="99"/>
    <w:unhideWhenUsed/>
    <w:rsid w:val="00D444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4EC"/>
  </w:style>
  <w:style w:type="paragraph" w:styleId="BalloonText">
    <w:name w:val="Balloon Text"/>
    <w:basedOn w:val="Normal"/>
    <w:link w:val="BalloonTextChar"/>
    <w:uiPriority w:val="99"/>
    <w:semiHidden/>
    <w:unhideWhenUsed/>
    <w:rsid w:val="00D444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3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02D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444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4EC"/>
  </w:style>
  <w:style w:type="paragraph" w:styleId="Footer">
    <w:name w:val="footer"/>
    <w:basedOn w:val="Normal"/>
    <w:link w:val="FooterChar"/>
    <w:uiPriority w:val="99"/>
    <w:unhideWhenUsed/>
    <w:rsid w:val="00D444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4EC"/>
  </w:style>
  <w:style w:type="paragraph" w:styleId="BalloonText">
    <w:name w:val="Balloon Text"/>
    <w:basedOn w:val="Normal"/>
    <w:link w:val="BalloonTextChar"/>
    <w:uiPriority w:val="99"/>
    <w:semiHidden/>
    <w:unhideWhenUsed/>
    <w:rsid w:val="00D444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2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63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5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69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013961">
                              <w:marLeft w:val="30"/>
                              <w:marRight w:val="0"/>
                              <w:marTop w:val="5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610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192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127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Linn Benton Communtiy College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carroll</dc:creator>
  <cp:lastModifiedBy>              </cp:lastModifiedBy>
  <cp:revision>2</cp:revision>
  <dcterms:created xsi:type="dcterms:W3CDTF">2013-12-11T19:15:00Z</dcterms:created>
  <dcterms:modified xsi:type="dcterms:W3CDTF">2013-12-11T19:15:00Z</dcterms:modified>
</cp:coreProperties>
</file>