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Genetic Improvement of Livestock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ANS 278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Course Syllabus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Number: </w:t>
      </w:r>
      <w:r>
        <w:rPr>
          <w:rFonts w:ascii="Times New Roman" w:eastAsia="Times New Roman" w:hAnsi="Times New Roman" w:cs="Times New Roman"/>
          <w:sz w:val="24"/>
          <w:szCs w:val="24"/>
        </w:rPr>
        <w:t>ANS 278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Credits: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 Class meets Tuesday and Thursdays from 10am - 11:50am, and has a 1 hour online component.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Location: </w:t>
      </w:r>
      <w:r>
        <w:rPr>
          <w:rFonts w:ascii="Times New Roman" w:eastAsia="Times New Roman" w:hAnsi="Times New Roman" w:cs="Times New Roman"/>
          <w:sz w:val="24"/>
          <w:szCs w:val="24"/>
        </w:rPr>
        <w:t>RCH 209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Instructor: </w:t>
      </w:r>
      <w:r>
        <w:rPr>
          <w:rFonts w:ascii="Times New Roman" w:eastAsia="Times New Roman" w:hAnsi="Times New Roman" w:cs="Times New Roman"/>
          <w:sz w:val="24"/>
          <w:szCs w:val="24"/>
        </w:rPr>
        <w:t>Jenny Strooband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Instructor Office: </w:t>
      </w:r>
      <w:r>
        <w:rPr>
          <w:rFonts w:ascii="Times New Roman" w:eastAsia="Times New Roman" w:hAnsi="Times New Roman" w:cs="Times New Roman"/>
          <w:sz w:val="24"/>
          <w:szCs w:val="24"/>
        </w:rPr>
        <w:t>WOH 127C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Office Hours: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Monday 10-11am; Tuesday 12 -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 Thursday 2-3.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Phone: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917-4767 (I’m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really lousy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at returning calls, email is a better option).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Email: </w:t>
      </w:r>
      <w:r>
        <w:rPr>
          <w:rFonts w:ascii="Times New Roman" w:eastAsia="Times New Roman" w:hAnsi="Times New Roman" w:cs="Times New Roman"/>
          <w:sz w:val="24"/>
          <w:szCs w:val="24"/>
        </w:rPr>
        <w:t>jenny.strooband@linnbenton.edu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Text: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Understanding Animal Breeding</w:t>
      </w:r>
      <w:r>
        <w:rPr>
          <w:rFonts w:ascii="Times New Roman" w:eastAsia="Times New Roman" w:hAnsi="Times New Roman" w:cs="Times New Roman"/>
          <w:sz w:val="24"/>
          <w:szCs w:val="24"/>
        </w:rPr>
        <w:t>, Richard M. Bourdon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Instructor Website:</w:t>
      </w:r>
      <w:hyperlink r:id="rId5"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</w:hyperlink>
      <w:r>
        <w:fldChar w:fldCharType="begin"/>
      </w:r>
      <w:r>
        <w:instrText xml:space="preserve"> HYPERLINK "http://cf.linnbenton.edu/mathsci/ansci/stroobj"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http://cf.linnbenton.edu/mathsci/ansci/stroobj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</w:rPr>
        <w:t>Moodle:</w:t>
      </w:r>
      <w:hyperlink r:id="rId6"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</w:hyperlink>
      <w:r>
        <w:fldChar w:fldCharType="begin"/>
      </w:r>
      <w:r>
        <w:instrText xml:space="preserve"> HYPERLINK "https://elearning.linnbenton.edu/"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https://elearning.linnbenton.edu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fldChar w:fldCharType="end"/>
      </w:r>
      <w:r>
        <w:rPr>
          <w:rFonts w:ascii="Times New Roman" w:eastAsia="Times New Roman" w:hAnsi="Times New Roman" w:cs="Times New Roman"/>
        </w:rPr>
        <w:t xml:space="preserve"> 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Introduction/Course Objectives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As a result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taking this course you will be able to:</w:t>
      </w:r>
    </w:p>
    <w:p w:rsidR="00A66405" w:rsidRDefault="00374C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>Express molecular inheritance.</w:t>
      </w:r>
    </w:p>
    <w:p w:rsidR="00A66405" w:rsidRDefault="00374C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Explain how management can influence traits expression through inbreeding, outbreeding and line breeding. </w:t>
      </w:r>
    </w:p>
    <w:p w:rsidR="00A66405" w:rsidRDefault="00374C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Explain the benefits prepotency and drawbacks inbreeding depression associated with inbreeding. </w:t>
      </w:r>
    </w:p>
    <w:p w:rsidR="00A66405" w:rsidRDefault="00374C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Explain the difference of inheritance in monogenic, polygenic, simply inherited and qualitative traits. </w:t>
      </w:r>
    </w:p>
    <w:p w:rsidR="00A66405" w:rsidRDefault="00374C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Calculate repeatability and heritability, and apply these concepts to a practical situation. </w:t>
      </w: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Grading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course will consist of approximately 16 assignments, 4 quizzes (the low score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will be dropped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), 2 midterms and a final. 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Daily assignments: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16 x 5 points = 80 points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Quizzes: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 x 25 points   = 75 points (This could vary)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Midterms: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 x 100 points = 200 points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Final Exam: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150 points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Total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505 points possible</w:t>
      </w: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Grades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will be loosely defined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as the following: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477 points and above = A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424 - 476 points = B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371 – 423 points = C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318 - 370 points = D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Below 317 = F</w:t>
      </w: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***In order to make up a missed quiz or exam, you must inform me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that you will miss the quiz or exam ahead of time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You must make up the quiz or exam the next class period.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It is your responsibility to remind me!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All classroom assignments will be due at the end of class on Friday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.*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**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Incomplete Grades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An incomplete (I) may be given if the student completes the majority of the coursework, but for some valid reason misses a portion of the course.  Before an “I”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 given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student and the instructor must agree on when the work will be completed.  If the student does not complete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they may receive a letter grade for the course. </w:t>
      </w: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Other Information:</w:t>
      </w: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Tips for Success in ANS 278</w:t>
      </w:r>
    </w:p>
    <w:p w:rsidR="00A66405" w:rsidRDefault="00374C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Come to every class session. </w:t>
      </w:r>
    </w:p>
    <w:p w:rsidR="00A66405" w:rsidRDefault="00374C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the problems at the end of each chapter.  I love putting these on tests, and often, the answers are in the back of the book!</w:t>
      </w:r>
    </w:p>
    <w:p w:rsidR="00A66405" w:rsidRDefault="00374C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the chapter readings.</w:t>
      </w:r>
    </w:p>
    <w:p w:rsidR="00A66405" w:rsidRDefault="00374C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Participate in all group work problem solving</w:t>
      </w:r>
    </w:p>
    <w:p w:rsidR="00A66405" w:rsidRDefault="00374C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Don’t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get behind!  We move fast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won’t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wait for you to catch up!</w:t>
      </w:r>
    </w:p>
    <w:p w:rsidR="00A66405" w:rsidRDefault="00374C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Come to my office hours with questions.  There is no such thing as a bad or a stupid question.  I am here to help you.</w:t>
      </w:r>
    </w:p>
    <w:p w:rsidR="00A66405" w:rsidRDefault="00374C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Don’t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fear the math, make the math fear you!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Accommodation Requests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should meet with your instructor during the first week of class if: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You have a documented disability and need accommodations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Your instructor needs to know medical information about you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You need special arrangements in the event of an emergency.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If you have not accessed services and think you may need them,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please contact Disability Services, 917-4789.</w:t>
      </w: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374CF7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Persons having questions about or requests for special needs and accommodations should contact the Disability Coordinator at Linn-Benton Community College, RCH-105, 6500 Pacific Blvd. SW, Albany, Oregon 97321, Phone (541)-917-4690 or via Oregon Telecommunications Relay TTD at 1-800-735-2900 or 1-800-735-1232. Contact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should be made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72 hours or more in advance of the event.</w:t>
      </w: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LBCC Comprehensive Statement of Nondiscrimination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LBCC prohibits unlawful discrimination based on race, color, religion, ethnicity,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native language, national origin, sex, sexual orientation, marital status, disability, veteran status, age, or any other status protected under applicable federal, state, or local laws. For further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information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see Board Policy P1015 at</w:t>
      </w:r>
      <w:hyperlink r:id="rId7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>
        <w:fldChar w:fldCharType="begin"/>
      </w:r>
      <w:r>
        <w:instrText xml:space="preserve"> HYPERLINK "http://po.linnbenton.edu/BPsandARs/"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http://po.linnbenton.edu/BPsandARs/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fldChar w:fldCharType="end"/>
      </w: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74CF7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 Very Tentative Schedule for 2019</w:t>
      </w: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66405" w:rsidRDefault="00374CF7">
      <w:pPr>
        <w:pStyle w:val="Heading2"/>
        <w:widowControl w:val="0"/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1" w:name="_cawhnswc6pp8" w:colFirst="0" w:colLast="0"/>
      <w:bookmarkEnd w:id="1"/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Week  Date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Topic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Reading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1/7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Course Intro., Intro. Animal Breeding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Chap. 1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1/17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Mendelian Genetics;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Quiz 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Chap. 2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1/21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Mendelian Genetic/ Pop. Genetics;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Quiz II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Chap. 3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1/28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Population Genetics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Chap.4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2/4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MT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Genetic Traits, Trait Selection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Chap. 5 &amp; 6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2/11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Heritability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Chap. 9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2/18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Repeatability;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Quiz 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Chap. 15 &amp; 16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2/25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Mating Systems &amp; Probability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Chap. 17 &amp; 18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3/4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MT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Crossbreeding Systems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Chap. 19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3/11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Biotech.,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Stem Cells, GMO’s;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Quiz IV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Chap. 20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3/18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Cumulative Final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Tuesday, March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19th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at 9:30 AM</w:t>
      </w: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405" w:rsidRDefault="00374C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:rsidR="00A66405" w:rsidRDefault="00A664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sectPr w:rsidR="00A6640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32914"/>
    <w:multiLevelType w:val="multilevel"/>
    <w:tmpl w:val="5B8EB2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97430C"/>
    <w:multiLevelType w:val="multilevel"/>
    <w:tmpl w:val="AB905D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05"/>
    <w:rsid w:val="00374CF7"/>
    <w:rsid w:val="00A66405"/>
    <w:rsid w:val="00DC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864F56-7E5D-4DB5-A3A0-826EA53E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.linnbenton.edu/BPsandA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ing.linnbenton.edu/" TargetMode="External"/><Relationship Id="rId5" Type="http://schemas.openxmlformats.org/officeDocument/2006/relationships/hyperlink" Target="http://cf.linnbenton.edu/mathsci/ansci/stroob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Linn-Benton Communtiy College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Strooband</dc:creator>
  <cp:lastModifiedBy>Staff</cp:lastModifiedBy>
  <cp:revision>2</cp:revision>
  <dcterms:created xsi:type="dcterms:W3CDTF">2019-01-04T20:26:00Z</dcterms:created>
  <dcterms:modified xsi:type="dcterms:W3CDTF">2019-01-04T20:26:00Z</dcterms:modified>
</cp:coreProperties>
</file>