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2FF3" w14:textId="77777777" w:rsidR="00161F0E" w:rsidRPr="006B2633" w:rsidRDefault="00161F0E">
      <w:pPr>
        <w:pStyle w:val="Title"/>
        <w:rPr>
          <w:rFonts w:ascii="Herculanum" w:hAnsi="Herculanum"/>
        </w:rPr>
      </w:pPr>
      <w:bookmarkStart w:id="0" w:name="_GoBack"/>
      <w:bookmarkEnd w:id="0"/>
      <w:r>
        <w:rPr>
          <w:rFonts w:ascii="Herculanum" w:hAnsi="Herculanum"/>
        </w:rPr>
        <w:t>ENG 253</w:t>
      </w:r>
    </w:p>
    <w:p w14:paraId="0D666FD9" w14:textId="77777777" w:rsidR="00161F0E" w:rsidRPr="006B2633" w:rsidRDefault="00161F0E">
      <w:pPr>
        <w:pStyle w:val="Subtitle"/>
        <w:rPr>
          <w:sz w:val="24"/>
        </w:rPr>
      </w:pPr>
      <w:r w:rsidRPr="006B2633">
        <w:rPr>
          <w:rFonts w:ascii="Herculanum" w:hAnsi="Herculanum"/>
          <w:sz w:val="24"/>
        </w:rPr>
        <w:t>Survey of A</w:t>
      </w:r>
      <w:r>
        <w:rPr>
          <w:rFonts w:ascii="Herculanum" w:hAnsi="Herculanum"/>
          <w:sz w:val="24"/>
        </w:rPr>
        <w:t>merican Literature: early</w:t>
      </w:r>
    </w:p>
    <w:p w14:paraId="2DDD80E5" w14:textId="77777777" w:rsidR="00161F0E" w:rsidRDefault="00161F0E">
      <w:pPr>
        <w:jc w:val="center"/>
        <w:rPr>
          <w:rFonts w:ascii="Arial" w:hAnsi="Arial"/>
          <w:b/>
          <w:sz w:val="24"/>
        </w:rPr>
      </w:pPr>
    </w:p>
    <w:p w14:paraId="25A69959" w14:textId="77777777" w:rsidR="00161F0E" w:rsidRDefault="00161F0E">
      <w:pPr>
        <w:jc w:val="center"/>
        <w:rPr>
          <w:rFonts w:ascii="Arial" w:hAnsi="Arial"/>
          <w:b/>
          <w:sz w:val="24"/>
        </w:rPr>
      </w:pPr>
    </w:p>
    <w:p w14:paraId="0355C21A" w14:textId="77777777" w:rsidR="00161F0E" w:rsidRPr="006B2633" w:rsidRDefault="00161F0E">
      <w:pPr>
        <w:rPr>
          <w:rFonts w:asciiTheme="majorHAnsi" w:hAnsiTheme="majorHAnsi"/>
          <w:sz w:val="22"/>
        </w:rPr>
      </w:pPr>
      <w:r w:rsidRPr="006B2633">
        <w:rPr>
          <w:rFonts w:asciiTheme="majorHAnsi" w:hAnsiTheme="majorHAnsi"/>
          <w:b/>
          <w:sz w:val="22"/>
        </w:rPr>
        <w:t>Instructor</w:t>
      </w:r>
      <w:r w:rsidRPr="006B2633">
        <w:rPr>
          <w:rFonts w:asciiTheme="majorHAnsi" w:hAnsiTheme="majorHAnsi"/>
          <w:b/>
          <w:sz w:val="22"/>
        </w:rPr>
        <w:tab/>
      </w:r>
      <w:r w:rsidRPr="006B2633">
        <w:rPr>
          <w:rFonts w:asciiTheme="majorHAnsi" w:hAnsiTheme="majorHAnsi"/>
          <w:b/>
          <w:sz w:val="22"/>
        </w:rPr>
        <w:tab/>
      </w:r>
      <w:r w:rsidRPr="006B2633">
        <w:rPr>
          <w:rFonts w:asciiTheme="majorHAnsi" w:hAnsiTheme="majorHAnsi"/>
          <w:sz w:val="22"/>
        </w:rPr>
        <w:t>Robin Havenick</w:t>
      </w:r>
    </w:p>
    <w:p w14:paraId="0C041FF6" w14:textId="77777777" w:rsidR="00161F0E" w:rsidRPr="006B2633" w:rsidRDefault="00161F0E">
      <w:pPr>
        <w:rPr>
          <w:rFonts w:asciiTheme="majorHAnsi" w:hAnsiTheme="majorHAnsi"/>
          <w:sz w:val="22"/>
        </w:rPr>
      </w:pPr>
      <w:r w:rsidRPr="006B2633">
        <w:rPr>
          <w:rFonts w:asciiTheme="majorHAnsi" w:hAnsiTheme="majorHAnsi"/>
          <w:b/>
          <w:sz w:val="22"/>
        </w:rPr>
        <w:t>Office</w:t>
      </w:r>
      <w:r w:rsidRPr="006B2633">
        <w:rPr>
          <w:rFonts w:asciiTheme="majorHAnsi" w:hAnsiTheme="majorHAnsi"/>
          <w:b/>
          <w:sz w:val="22"/>
        </w:rPr>
        <w:tab/>
      </w:r>
      <w:r w:rsidRPr="006B2633">
        <w:rPr>
          <w:rFonts w:asciiTheme="majorHAnsi" w:hAnsiTheme="majorHAnsi"/>
          <w:sz w:val="22"/>
        </w:rPr>
        <w:tab/>
      </w:r>
      <w:r w:rsidRPr="006B2633">
        <w:rPr>
          <w:rFonts w:asciiTheme="majorHAnsi" w:hAnsiTheme="majorHAnsi"/>
          <w:sz w:val="22"/>
        </w:rPr>
        <w:tab/>
        <w:t>North Santiam Hall 214</w:t>
      </w:r>
    </w:p>
    <w:p w14:paraId="154AE2E8" w14:textId="77777777" w:rsidR="00161F0E" w:rsidRPr="006B2633" w:rsidRDefault="00161F0E">
      <w:pPr>
        <w:rPr>
          <w:rFonts w:asciiTheme="majorHAnsi" w:hAnsiTheme="majorHAnsi"/>
          <w:sz w:val="22"/>
        </w:rPr>
      </w:pPr>
      <w:r w:rsidRPr="006B2633">
        <w:rPr>
          <w:rFonts w:asciiTheme="majorHAnsi" w:hAnsiTheme="majorHAnsi"/>
          <w:b/>
          <w:sz w:val="22"/>
        </w:rPr>
        <w:t>Phone</w:t>
      </w:r>
      <w:r w:rsidRPr="006B2633">
        <w:rPr>
          <w:rFonts w:asciiTheme="majorHAnsi" w:hAnsiTheme="majorHAnsi"/>
          <w:b/>
          <w:sz w:val="22"/>
        </w:rPr>
        <w:tab/>
      </w:r>
      <w:r w:rsidRPr="006B2633">
        <w:rPr>
          <w:rFonts w:asciiTheme="majorHAnsi" w:hAnsiTheme="majorHAnsi"/>
          <w:b/>
          <w:sz w:val="22"/>
        </w:rPr>
        <w:tab/>
      </w:r>
      <w:r w:rsidRPr="006B2633">
        <w:rPr>
          <w:rFonts w:asciiTheme="majorHAnsi" w:hAnsiTheme="majorHAnsi"/>
          <w:b/>
          <w:sz w:val="22"/>
        </w:rPr>
        <w:tab/>
      </w:r>
      <w:r w:rsidRPr="006B2633">
        <w:rPr>
          <w:rFonts w:asciiTheme="majorHAnsi" w:hAnsiTheme="majorHAnsi"/>
          <w:sz w:val="22"/>
        </w:rPr>
        <w:t>917-4574</w:t>
      </w:r>
    </w:p>
    <w:p w14:paraId="74EF9D25" w14:textId="77777777" w:rsidR="00161F0E" w:rsidRPr="006B2633" w:rsidRDefault="00161F0E">
      <w:pPr>
        <w:rPr>
          <w:rFonts w:asciiTheme="majorHAnsi" w:hAnsiTheme="majorHAnsi"/>
          <w:sz w:val="22"/>
        </w:rPr>
      </w:pPr>
      <w:proofErr w:type="gramStart"/>
      <w:r w:rsidRPr="006B2633">
        <w:rPr>
          <w:rFonts w:asciiTheme="majorHAnsi" w:hAnsiTheme="majorHAnsi"/>
          <w:b/>
          <w:sz w:val="22"/>
        </w:rPr>
        <w:t>e-mail</w:t>
      </w:r>
      <w:proofErr w:type="gramEnd"/>
      <w:r w:rsidRPr="006B2633">
        <w:rPr>
          <w:rFonts w:asciiTheme="majorHAnsi" w:hAnsiTheme="majorHAnsi"/>
          <w:b/>
          <w:sz w:val="22"/>
        </w:rPr>
        <w:tab/>
      </w:r>
      <w:r w:rsidRPr="006B2633">
        <w:rPr>
          <w:rFonts w:asciiTheme="majorHAnsi" w:hAnsiTheme="majorHAnsi"/>
          <w:b/>
          <w:sz w:val="22"/>
        </w:rPr>
        <w:tab/>
      </w:r>
      <w:r w:rsidRPr="006B2633">
        <w:rPr>
          <w:rFonts w:asciiTheme="majorHAnsi" w:hAnsiTheme="majorHAnsi"/>
          <w:b/>
          <w:sz w:val="22"/>
        </w:rPr>
        <w:tab/>
      </w:r>
      <w:hyperlink r:id="rId5" w:history="1">
        <w:r w:rsidRPr="006B2633">
          <w:rPr>
            <w:rStyle w:val="Hyperlink"/>
            <w:rFonts w:asciiTheme="majorHAnsi" w:hAnsiTheme="majorHAnsi"/>
            <w:b/>
            <w:sz w:val="22"/>
          </w:rPr>
          <w:t>robin.havenick@linnbenton.edu</w:t>
        </w:r>
      </w:hyperlink>
    </w:p>
    <w:p w14:paraId="276C7D7E" w14:textId="1E49AD29" w:rsidR="00161F0E" w:rsidRPr="006B2633" w:rsidRDefault="00161F0E">
      <w:pPr>
        <w:rPr>
          <w:rFonts w:asciiTheme="majorHAnsi" w:hAnsiTheme="majorHAnsi"/>
          <w:sz w:val="22"/>
        </w:rPr>
      </w:pPr>
      <w:r w:rsidRPr="006B2633">
        <w:rPr>
          <w:rFonts w:asciiTheme="majorHAnsi" w:hAnsiTheme="majorHAnsi"/>
          <w:b/>
          <w:sz w:val="22"/>
        </w:rPr>
        <w:t>Office Hours</w:t>
      </w:r>
      <w:r w:rsidRPr="006B2633">
        <w:rPr>
          <w:rFonts w:asciiTheme="majorHAnsi" w:hAnsiTheme="majorHAnsi"/>
          <w:b/>
          <w:sz w:val="22"/>
        </w:rPr>
        <w:tab/>
      </w:r>
      <w:r w:rsidRPr="006B2633">
        <w:rPr>
          <w:rFonts w:asciiTheme="majorHAnsi" w:hAnsiTheme="majorHAnsi"/>
          <w:b/>
          <w:sz w:val="22"/>
        </w:rPr>
        <w:tab/>
      </w:r>
      <w:r>
        <w:rPr>
          <w:rFonts w:asciiTheme="majorHAnsi" w:hAnsiTheme="majorHAnsi"/>
          <w:sz w:val="22"/>
        </w:rPr>
        <w:t xml:space="preserve">Mon </w:t>
      </w:r>
      <w:r w:rsidR="000768AF">
        <w:rPr>
          <w:rFonts w:asciiTheme="majorHAnsi" w:hAnsiTheme="majorHAnsi"/>
          <w:sz w:val="22"/>
        </w:rPr>
        <w:t>1</w:t>
      </w:r>
      <w:r>
        <w:rPr>
          <w:rFonts w:asciiTheme="majorHAnsi" w:hAnsiTheme="majorHAnsi"/>
          <w:sz w:val="22"/>
        </w:rPr>
        <w:t xml:space="preserve">1:00 – </w:t>
      </w:r>
      <w:r w:rsidR="000768AF">
        <w:rPr>
          <w:rFonts w:asciiTheme="majorHAnsi" w:hAnsiTheme="majorHAnsi"/>
          <w:sz w:val="22"/>
        </w:rPr>
        <w:t>12:00 and 1:00 – 2:00,</w:t>
      </w:r>
      <w:r>
        <w:rPr>
          <w:rFonts w:asciiTheme="majorHAnsi" w:hAnsiTheme="majorHAnsi"/>
          <w:sz w:val="22"/>
        </w:rPr>
        <w:t xml:space="preserve"> Tues, 12 – 1:00, Wed 1:00 – 2:00 </w:t>
      </w:r>
    </w:p>
    <w:p w14:paraId="081717BB" w14:textId="77777777" w:rsidR="00161F0E" w:rsidRPr="006B2633" w:rsidRDefault="00161F0E">
      <w:pPr>
        <w:rPr>
          <w:rFonts w:asciiTheme="majorHAnsi" w:hAnsiTheme="majorHAnsi"/>
          <w:sz w:val="22"/>
        </w:rPr>
      </w:pPr>
      <w:r w:rsidRPr="006B2633">
        <w:rPr>
          <w:rFonts w:asciiTheme="majorHAnsi" w:hAnsiTheme="majorHAnsi"/>
          <w:b/>
          <w:sz w:val="22"/>
        </w:rPr>
        <w:t>Class Info</w:t>
      </w:r>
      <w:r w:rsidRPr="006B2633">
        <w:rPr>
          <w:rFonts w:asciiTheme="majorHAnsi" w:hAnsiTheme="majorHAnsi"/>
          <w:b/>
          <w:sz w:val="22"/>
        </w:rPr>
        <w:tab/>
      </w:r>
      <w:r w:rsidRPr="006B2633">
        <w:rPr>
          <w:rFonts w:asciiTheme="majorHAnsi" w:hAnsiTheme="majorHAnsi"/>
          <w:b/>
          <w:sz w:val="22"/>
        </w:rPr>
        <w:tab/>
      </w:r>
      <w:r>
        <w:rPr>
          <w:rFonts w:asciiTheme="majorHAnsi" w:hAnsiTheme="majorHAnsi"/>
          <w:sz w:val="22"/>
        </w:rPr>
        <w:t>CRN 37867 NSH210</w:t>
      </w:r>
      <w:r w:rsidRPr="006B2633">
        <w:rPr>
          <w:rFonts w:asciiTheme="majorHAnsi" w:hAnsiTheme="majorHAnsi"/>
          <w:sz w:val="22"/>
        </w:rPr>
        <w:t>, Tues</w:t>
      </w:r>
      <w:r w:rsidR="005E525D">
        <w:rPr>
          <w:rFonts w:asciiTheme="majorHAnsi" w:hAnsiTheme="majorHAnsi"/>
          <w:sz w:val="22"/>
        </w:rPr>
        <w:t>days and Thursdays 1:00 – 3:0</w:t>
      </w:r>
      <w:r>
        <w:rPr>
          <w:rFonts w:asciiTheme="majorHAnsi" w:hAnsiTheme="majorHAnsi"/>
          <w:sz w:val="22"/>
        </w:rPr>
        <w:t xml:space="preserve">0 </w:t>
      </w:r>
    </w:p>
    <w:p w14:paraId="78F602F3" w14:textId="77777777" w:rsidR="00161F0E" w:rsidRPr="00161F0E" w:rsidRDefault="00161F0E" w:rsidP="00161F0E">
      <w:pPr>
        <w:ind w:left="1440" w:hanging="1440"/>
        <w:rPr>
          <w:rFonts w:asciiTheme="majorHAnsi" w:hAnsiTheme="majorHAnsi"/>
          <w:i/>
          <w:sz w:val="22"/>
        </w:rPr>
      </w:pPr>
      <w:r w:rsidRPr="006B2633">
        <w:rPr>
          <w:rFonts w:asciiTheme="majorHAnsi" w:hAnsiTheme="majorHAnsi"/>
          <w:b/>
          <w:sz w:val="22"/>
        </w:rPr>
        <w:t>Text:</w:t>
      </w:r>
      <w:r w:rsidRPr="006B2633">
        <w:rPr>
          <w:rFonts w:asciiTheme="majorHAnsi" w:hAnsiTheme="majorHAnsi"/>
          <w:b/>
          <w:sz w:val="22"/>
        </w:rPr>
        <w:tab/>
      </w:r>
      <w:r w:rsidRPr="006B2633">
        <w:rPr>
          <w:rFonts w:asciiTheme="majorHAnsi" w:hAnsiTheme="majorHAnsi"/>
          <w:b/>
          <w:sz w:val="22"/>
        </w:rPr>
        <w:tab/>
      </w:r>
      <w:r>
        <w:rPr>
          <w:rFonts w:asciiTheme="majorHAnsi" w:hAnsiTheme="majorHAnsi"/>
          <w:i/>
          <w:sz w:val="22"/>
        </w:rPr>
        <w:t>The Norton Anthology of American Lit, 8</w:t>
      </w:r>
      <w:r w:rsidRPr="00161F0E">
        <w:rPr>
          <w:rFonts w:asciiTheme="majorHAnsi" w:hAnsiTheme="majorHAnsi"/>
          <w:i/>
          <w:sz w:val="22"/>
          <w:vertAlign w:val="superscript"/>
        </w:rPr>
        <w:t>th</w:t>
      </w:r>
      <w:r>
        <w:rPr>
          <w:rFonts w:asciiTheme="majorHAnsi" w:hAnsiTheme="majorHAnsi"/>
          <w:i/>
          <w:sz w:val="22"/>
        </w:rPr>
        <w:t xml:space="preserve"> edition, Volumes A &amp; B</w:t>
      </w:r>
    </w:p>
    <w:p w14:paraId="10DC0FF4" w14:textId="77777777" w:rsidR="00284D77" w:rsidRDefault="00161F0E" w:rsidP="00161F0E">
      <w:pPr>
        <w:ind w:left="2160" w:hanging="2160"/>
        <w:rPr>
          <w:rFonts w:asciiTheme="majorHAnsi" w:hAnsiTheme="majorHAnsi"/>
          <w:i/>
          <w:sz w:val="22"/>
        </w:rPr>
      </w:pPr>
      <w:r w:rsidRPr="006B2633">
        <w:rPr>
          <w:rFonts w:asciiTheme="majorHAnsi" w:hAnsiTheme="majorHAnsi"/>
          <w:b/>
          <w:sz w:val="22"/>
        </w:rPr>
        <w:t>Prerequisite:</w:t>
      </w:r>
      <w:r w:rsidRPr="006B2633">
        <w:rPr>
          <w:rFonts w:asciiTheme="majorHAnsi" w:hAnsiTheme="majorHAnsi"/>
          <w:b/>
          <w:sz w:val="22"/>
        </w:rPr>
        <w:tab/>
      </w:r>
      <w:r w:rsidR="00284D77">
        <w:rPr>
          <w:rFonts w:asciiTheme="majorHAnsi" w:hAnsiTheme="majorHAnsi"/>
          <w:sz w:val="22"/>
        </w:rPr>
        <w:t>ENG 253</w:t>
      </w:r>
      <w:r>
        <w:rPr>
          <w:rFonts w:asciiTheme="majorHAnsi" w:hAnsiTheme="majorHAnsi"/>
          <w:sz w:val="22"/>
        </w:rPr>
        <w:t xml:space="preserve"> is the first of a 2</w:t>
      </w:r>
      <w:r w:rsidRPr="006B2633">
        <w:rPr>
          <w:rFonts w:asciiTheme="majorHAnsi" w:hAnsiTheme="majorHAnsi"/>
          <w:sz w:val="22"/>
        </w:rPr>
        <w:t>-course sequ</w:t>
      </w:r>
      <w:r w:rsidR="00284D77">
        <w:rPr>
          <w:rFonts w:asciiTheme="majorHAnsi" w:hAnsiTheme="majorHAnsi"/>
          <w:sz w:val="22"/>
        </w:rPr>
        <w:t>ence in American Literature</w:t>
      </w:r>
      <w:r w:rsidRPr="006B2633">
        <w:rPr>
          <w:rFonts w:asciiTheme="majorHAnsi" w:hAnsiTheme="majorHAnsi"/>
          <w:i/>
          <w:sz w:val="22"/>
        </w:rPr>
        <w:t>.</w:t>
      </w:r>
      <w:r w:rsidR="00284D77">
        <w:rPr>
          <w:rFonts w:asciiTheme="majorHAnsi" w:hAnsiTheme="majorHAnsi"/>
          <w:i/>
          <w:sz w:val="22"/>
        </w:rPr>
        <w:t xml:space="preserve">   </w:t>
      </w:r>
    </w:p>
    <w:p w14:paraId="655CB7DD" w14:textId="77777777" w:rsidR="00161F0E" w:rsidRDefault="00284D77" w:rsidP="00284D77">
      <w:pPr>
        <w:ind w:left="2160" w:hanging="2160"/>
        <w:rPr>
          <w:rFonts w:asciiTheme="majorHAnsi" w:hAnsiTheme="majorHAnsi"/>
          <w:b/>
          <w:sz w:val="22"/>
        </w:rPr>
      </w:pPr>
      <w:r>
        <w:rPr>
          <w:rFonts w:asciiTheme="majorHAnsi" w:hAnsiTheme="majorHAnsi"/>
          <w:b/>
          <w:sz w:val="22"/>
        </w:rPr>
        <w:tab/>
      </w:r>
      <w:r>
        <w:rPr>
          <w:rFonts w:asciiTheme="majorHAnsi" w:hAnsiTheme="majorHAnsi"/>
          <w:sz w:val="22"/>
        </w:rPr>
        <w:t>Note: This series course may be taken individually and out of sequence.</w:t>
      </w:r>
      <w:r>
        <w:rPr>
          <w:rFonts w:asciiTheme="majorHAnsi" w:hAnsiTheme="majorHAnsi"/>
          <w:b/>
          <w:sz w:val="22"/>
        </w:rPr>
        <w:tab/>
      </w:r>
      <w:r w:rsidR="00161F0E" w:rsidRPr="006B2633">
        <w:rPr>
          <w:rFonts w:asciiTheme="majorHAnsi" w:hAnsiTheme="majorHAnsi"/>
          <w:i/>
          <w:sz w:val="22"/>
        </w:rPr>
        <w:t xml:space="preserve"> </w:t>
      </w:r>
      <w:r w:rsidR="00161F0E" w:rsidRPr="006B2633">
        <w:rPr>
          <w:rFonts w:asciiTheme="majorHAnsi" w:hAnsiTheme="majorHAnsi"/>
          <w:b/>
          <w:sz w:val="22"/>
        </w:rPr>
        <w:tab/>
      </w:r>
    </w:p>
    <w:p w14:paraId="31068A47" w14:textId="77777777" w:rsidR="00D824FD" w:rsidRPr="00284D77" w:rsidRDefault="00D824FD" w:rsidP="00284D77">
      <w:pPr>
        <w:ind w:left="2160" w:hanging="2160"/>
        <w:rPr>
          <w:rFonts w:asciiTheme="majorHAnsi" w:hAnsiTheme="majorHAnsi"/>
          <w:b/>
          <w:sz w:val="22"/>
        </w:rPr>
      </w:pPr>
    </w:p>
    <w:p w14:paraId="62F39C55" w14:textId="77777777" w:rsidR="00161F0E" w:rsidRPr="00D824FD" w:rsidRDefault="00D824FD" w:rsidP="00D824FD">
      <w:pPr>
        <w:ind w:left="2160" w:hanging="2160"/>
        <w:jc w:val="center"/>
        <w:rPr>
          <w:rFonts w:ascii="Papyrus" w:hAnsi="Papyrus" w:cs="Papyrus"/>
          <w:b/>
          <w:sz w:val="22"/>
        </w:rPr>
      </w:pPr>
      <w:r>
        <w:rPr>
          <w:rFonts w:ascii="Papyrus" w:hAnsi="Papyrus" w:cs="Papyrus"/>
          <w:b/>
          <w:sz w:val="22"/>
        </w:rPr>
        <w:t>“The one thing in the world of value is the active soul.”</w:t>
      </w:r>
    </w:p>
    <w:p w14:paraId="36C16137" w14:textId="77777777" w:rsidR="00D824FD" w:rsidRDefault="00D824FD" w:rsidP="00D824FD">
      <w:pPr>
        <w:jc w:val="right"/>
        <w:rPr>
          <w:rFonts w:ascii="Bradley Hand ITC TT-Bold" w:hAnsi="Bradley Hand ITC TT-Bold"/>
          <w:b/>
          <w:sz w:val="24"/>
        </w:rPr>
      </w:pPr>
      <w:r>
        <w:rPr>
          <w:rFonts w:ascii="Bradley Hand ITC TT-Bold" w:hAnsi="Bradley Hand ITC TT-Bold"/>
          <w:b/>
          <w:sz w:val="24"/>
        </w:rPr>
        <w:t>Ralph Waldo Emerson</w:t>
      </w:r>
    </w:p>
    <w:p w14:paraId="33BB49E2" w14:textId="77777777" w:rsidR="00D824FD" w:rsidRDefault="00D824FD" w:rsidP="00D824FD">
      <w:pPr>
        <w:jc w:val="right"/>
        <w:rPr>
          <w:rFonts w:ascii="Bradley Hand ITC TT-Bold" w:hAnsi="Bradley Hand ITC TT-Bold"/>
          <w:b/>
          <w:sz w:val="24"/>
        </w:rPr>
      </w:pPr>
    </w:p>
    <w:p w14:paraId="330E20D8" w14:textId="77777777" w:rsidR="00161F0E" w:rsidRDefault="00161F0E">
      <w:pPr>
        <w:rPr>
          <w:rFonts w:asciiTheme="majorHAnsi" w:hAnsiTheme="majorHAnsi"/>
          <w:sz w:val="22"/>
        </w:rPr>
      </w:pPr>
      <w:r>
        <w:rPr>
          <w:rFonts w:asciiTheme="majorHAnsi" w:hAnsiTheme="majorHAnsi"/>
          <w:b/>
          <w:sz w:val="22"/>
        </w:rPr>
        <w:t xml:space="preserve">Course Description:  </w:t>
      </w:r>
      <w:r>
        <w:rPr>
          <w:rFonts w:asciiTheme="majorHAnsi" w:hAnsiTheme="majorHAnsi"/>
          <w:sz w:val="22"/>
        </w:rPr>
        <w:t>Welcome to our study of American Literature.  They say that in order to understand the meaning of some</w:t>
      </w:r>
      <w:r w:rsidR="00266F95">
        <w:rPr>
          <w:rFonts w:asciiTheme="majorHAnsi" w:hAnsiTheme="majorHAnsi"/>
          <w:sz w:val="22"/>
        </w:rPr>
        <w:t>thing you have to go back to its</w:t>
      </w:r>
      <w:r>
        <w:rPr>
          <w:rFonts w:asciiTheme="majorHAnsi" w:hAnsiTheme="majorHAnsi"/>
          <w:sz w:val="22"/>
        </w:rPr>
        <w:t xml:space="preserve"> origins.  In ENG253, we’ll go back to the beginnings of America and explore the literature through Native American stories, European exploration writings, the writings of Colonial America, the Literature of the New Republic, and finally the Literature of the Renaissance.  Throughout our study, we’ll appreciate these works in relation to their historical and philosoph</w:t>
      </w:r>
      <w:r w:rsidR="00284D77">
        <w:rPr>
          <w:rFonts w:asciiTheme="majorHAnsi" w:hAnsiTheme="majorHAnsi"/>
          <w:sz w:val="22"/>
        </w:rPr>
        <w:t>ical backgrounds</w:t>
      </w:r>
      <w:r>
        <w:rPr>
          <w:rFonts w:asciiTheme="majorHAnsi" w:hAnsiTheme="majorHAnsi"/>
          <w:sz w:val="22"/>
        </w:rPr>
        <w:t xml:space="preserve">, in relation to other </w:t>
      </w:r>
      <w:r w:rsidR="00284D77">
        <w:rPr>
          <w:rFonts w:asciiTheme="majorHAnsi" w:hAnsiTheme="majorHAnsi"/>
          <w:sz w:val="22"/>
        </w:rPr>
        <w:t xml:space="preserve">world </w:t>
      </w:r>
      <w:r>
        <w:rPr>
          <w:rFonts w:asciiTheme="majorHAnsi" w:hAnsiTheme="majorHAnsi"/>
          <w:sz w:val="22"/>
        </w:rPr>
        <w:t>literature</w:t>
      </w:r>
      <w:r w:rsidR="00284D77">
        <w:rPr>
          <w:rFonts w:asciiTheme="majorHAnsi" w:hAnsiTheme="majorHAnsi"/>
          <w:sz w:val="22"/>
        </w:rPr>
        <w:t>,</w:t>
      </w:r>
      <w:r>
        <w:rPr>
          <w:rFonts w:asciiTheme="majorHAnsi" w:hAnsiTheme="majorHAnsi"/>
          <w:sz w:val="22"/>
        </w:rPr>
        <w:t xml:space="preserve"> and even in relation to other art forms.  I encourage you to recognize your own important place as world citizens of the 21</w:t>
      </w:r>
      <w:r w:rsidRPr="00161F0E">
        <w:rPr>
          <w:rFonts w:asciiTheme="majorHAnsi" w:hAnsiTheme="majorHAnsi"/>
          <w:sz w:val="22"/>
          <w:vertAlign w:val="superscript"/>
        </w:rPr>
        <w:t>st</w:t>
      </w:r>
      <w:r>
        <w:rPr>
          <w:rFonts w:asciiTheme="majorHAnsi" w:hAnsiTheme="majorHAnsi"/>
          <w:sz w:val="22"/>
        </w:rPr>
        <w:t xml:space="preserve"> century in understanding the literature of this country and its people.</w:t>
      </w:r>
    </w:p>
    <w:p w14:paraId="400ECBB8" w14:textId="77777777" w:rsidR="00161F0E" w:rsidRPr="00161F0E" w:rsidRDefault="00161F0E">
      <w:pPr>
        <w:rPr>
          <w:rFonts w:asciiTheme="majorHAnsi" w:hAnsiTheme="majorHAnsi"/>
          <w:sz w:val="22"/>
        </w:rPr>
      </w:pPr>
    </w:p>
    <w:p w14:paraId="12AA361A" w14:textId="77777777" w:rsidR="00DB0BE4" w:rsidRPr="006B2633" w:rsidRDefault="00DB0BE4">
      <w:pPr>
        <w:rPr>
          <w:rFonts w:asciiTheme="majorHAnsi" w:hAnsiTheme="majorHAnsi"/>
          <w:sz w:val="22"/>
        </w:rPr>
      </w:pPr>
      <w:r w:rsidRPr="006B2633">
        <w:rPr>
          <w:rFonts w:asciiTheme="majorHAnsi" w:hAnsiTheme="majorHAnsi"/>
          <w:b/>
          <w:sz w:val="22"/>
        </w:rPr>
        <w:t xml:space="preserve">Learning Outcomes: </w:t>
      </w:r>
      <w:r w:rsidRPr="006B2633">
        <w:rPr>
          <w:rFonts w:asciiTheme="majorHAnsi" w:hAnsiTheme="majorHAnsi"/>
          <w:sz w:val="22"/>
        </w:rPr>
        <w:t xml:space="preserve"> When </w:t>
      </w:r>
      <w:r w:rsidR="00266F95">
        <w:rPr>
          <w:rFonts w:asciiTheme="majorHAnsi" w:hAnsiTheme="majorHAnsi"/>
          <w:sz w:val="22"/>
        </w:rPr>
        <w:t>you successfully complete ENG253</w:t>
      </w:r>
      <w:r w:rsidRPr="006B2633">
        <w:rPr>
          <w:rFonts w:asciiTheme="majorHAnsi" w:hAnsiTheme="majorHAnsi"/>
          <w:sz w:val="22"/>
        </w:rPr>
        <w:t>, you should be able to:</w:t>
      </w:r>
    </w:p>
    <w:p w14:paraId="26EA3846" w14:textId="77777777" w:rsidR="00DB0BE4" w:rsidRPr="006B2633" w:rsidRDefault="00DB0BE4">
      <w:pPr>
        <w:numPr>
          <w:ilvl w:val="0"/>
          <w:numId w:val="2"/>
        </w:numPr>
        <w:rPr>
          <w:rFonts w:asciiTheme="majorHAnsi" w:hAnsiTheme="majorHAnsi"/>
          <w:sz w:val="22"/>
        </w:rPr>
      </w:pPr>
      <w:r w:rsidRPr="006B2633">
        <w:rPr>
          <w:rFonts w:asciiTheme="majorHAnsi" w:hAnsiTheme="majorHAnsi"/>
          <w:sz w:val="22"/>
        </w:rPr>
        <w:t>Recognize how American Liter</w:t>
      </w:r>
      <w:r w:rsidR="00266F95">
        <w:rPr>
          <w:rFonts w:asciiTheme="majorHAnsi" w:hAnsiTheme="majorHAnsi"/>
          <w:sz w:val="22"/>
        </w:rPr>
        <w:t>ature helps in understanding our</w:t>
      </w:r>
      <w:r w:rsidRPr="006B2633">
        <w:rPr>
          <w:rFonts w:asciiTheme="majorHAnsi" w:hAnsiTheme="majorHAnsi"/>
          <w:sz w:val="22"/>
        </w:rPr>
        <w:t xml:space="preserve"> human condition.</w:t>
      </w:r>
    </w:p>
    <w:p w14:paraId="027D8B15" w14:textId="77777777" w:rsidR="00DB0BE4" w:rsidRPr="006B2633" w:rsidRDefault="00DB0BE4">
      <w:pPr>
        <w:numPr>
          <w:ilvl w:val="0"/>
          <w:numId w:val="2"/>
        </w:numPr>
        <w:rPr>
          <w:rFonts w:asciiTheme="majorHAnsi" w:hAnsiTheme="majorHAnsi"/>
          <w:sz w:val="22"/>
        </w:rPr>
      </w:pPr>
      <w:r w:rsidRPr="006B2633">
        <w:rPr>
          <w:rFonts w:asciiTheme="majorHAnsi" w:hAnsiTheme="majorHAnsi"/>
          <w:sz w:val="22"/>
        </w:rPr>
        <w:t>Recognize literature’s place in American culture and history.</w:t>
      </w:r>
    </w:p>
    <w:p w14:paraId="254D5A34" w14:textId="77777777" w:rsidR="00DB0BE4" w:rsidRPr="006B2633" w:rsidRDefault="00DB0BE4">
      <w:pPr>
        <w:numPr>
          <w:ilvl w:val="0"/>
          <w:numId w:val="2"/>
        </w:numPr>
        <w:rPr>
          <w:rFonts w:asciiTheme="majorHAnsi" w:hAnsiTheme="majorHAnsi"/>
          <w:sz w:val="22"/>
        </w:rPr>
      </w:pPr>
      <w:r w:rsidRPr="006B2633">
        <w:rPr>
          <w:rFonts w:asciiTheme="majorHAnsi" w:hAnsiTheme="majorHAnsi"/>
          <w:sz w:val="22"/>
        </w:rPr>
        <w:t xml:space="preserve">Demonstrate how </w:t>
      </w:r>
      <w:r w:rsidR="00266F95">
        <w:rPr>
          <w:rFonts w:asciiTheme="majorHAnsi" w:hAnsiTheme="majorHAnsi"/>
          <w:sz w:val="22"/>
        </w:rPr>
        <w:t xml:space="preserve">Early </w:t>
      </w:r>
      <w:r w:rsidRPr="006B2633">
        <w:rPr>
          <w:rFonts w:asciiTheme="majorHAnsi" w:hAnsiTheme="majorHAnsi"/>
          <w:sz w:val="22"/>
        </w:rPr>
        <w:t>American Literature enhances our contemporary selves/cultural awareness and creativity.</w:t>
      </w:r>
    </w:p>
    <w:p w14:paraId="238A51DD" w14:textId="77777777" w:rsidR="00DB0BE4" w:rsidRPr="006B2633" w:rsidRDefault="00DB0BE4">
      <w:pPr>
        <w:numPr>
          <w:ilvl w:val="0"/>
          <w:numId w:val="2"/>
        </w:numPr>
        <w:rPr>
          <w:rFonts w:asciiTheme="majorHAnsi" w:hAnsiTheme="majorHAnsi"/>
          <w:sz w:val="22"/>
        </w:rPr>
      </w:pPr>
      <w:r w:rsidRPr="006B2633">
        <w:rPr>
          <w:rFonts w:asciiTheme="majorHAnsi" w:hAnsiTheme="majorHAnsi"/>
          <w:sz w:val="22"/>
        </w:rPr>
        <w:t>Read, write, and talk critically and insightfully about American Literature.</w:t>
      </w:r>
    </w:p>
    <w:p w14:paraId="0C735505" w14:textId="77777777" w:rsidR="00DB0BE4" w:rsidRPr="00870280" w:rsidRDefault="00DB0BE4" w:rsidP="00870280">
      <w:pPr>
        <w:numPr>
          <w:ilvl w:val="0"/>
          <w:numId w:val="2"/>
        </w:numPr>
        <w:rPr>
          <w:rFonts w:asciiTheme="majorHAnsi" w:hAnsiTheme="majorHAnsi"/>
          <w:sz w:val="22"/>
        </w:rPr>
      </w:pPr>
      <w:r w:rsidRPr="006B2633">
        <w:rPr>
          <w:rFonts w:asciiTheme="majorHAnsi" w:hAnsiTheme="majorHAnsi"/>
          <w:sz w:val="22"/>
        </w:rPr>
        <w:t>Write and speak confidently about your own and others’ ideas regarding American Literature.</w:t>
      </w:r>
      <w:r w:rsidRPr="00870280">
        <w:rPr>
          <w:rFonts w:ascii="Arial" w:hAnsi="Arial"/>
          <w:sz w:val="24"/>
        </w:rPr>
        <w:br/>
      </w:r>
    </w:p>
    <w:p w14:paraId="3F914A1A" w14:textId="77777777" w:rsidR="00DB0BE4" w:rsidRDefault="00DB0BE4" w:rsidP="00870280">
      <w:pPr>
        <w:pBdr>
          <w:top w:val="single" w:sz="4" w:space="1" w:color="auto"/>
          <w:left w:val="single" w:sz="4" w:space="4" w:color="auto"/>
          <w:bottom w:val="single" w:sz="4" w:space="1" w:color="auto"/>
          <w:right w:val="single" w:sz="4" w:space="4" w:color="auto"/>
        </w:pBdr>
        <w:rPr>
          <w:rFonts w:ascii="Bank Gothic" w:hAnsi="Bank Gothic"/>
          <w:sz w:val="22"/>
        </w:rPr>
      </w:pPr>
      <w:r>
        <w:rPr>
          <w:rFonts w:ascii="Bank Gothic" w:hAnsi="Bank Gothic"/>
          <w:sz w:val="22"/>
        </w:rPr>
        <w:t>Succeeding in this class will require that you have college level writing and reading skills (write at the WR121 level).  If you have not yet taken WR121</w:t>
      </w:r>
      <w:r w:rsidR="005E525D">
        <w:rPr>
          <w:rFonts w:ascii="Bank Gothic" w:hAnsi="Bank Gothic"/>
          <w:sz w:val="22"/>
        </w:rPr>
        <w:t>, or aren’t taking it this term</w:t>
      </w:r>
      <w:r>
        <w:rPr>
          <w:rFonts w:ascii="Bank Gothic" w:hAnsi="Bank Gothic"/>
          <w:sz w:val="22"/>
        </w:rPr>
        <w:t>, please see me.</w:t>
      </w:r>
    </w:p>
    <w:p w14:paraId="43D4A482" w14:textId="77777777" w:rsidR="00870280" w:rsidRPr="00870280" w:rsidRDefault="00870280" w:rsidP="00870280">
      <w:pPr>
        <w:pBdr>
          <w:top w:val="single" w:sz="4" w:space="1" w:color="auto"/>
          <w:left w:val="single" w:sz="4" w:space="4" w:color="auto"/>
          <w:bottom w:val="single" w:sz="4" w:space="1" w:color="auto"/>
          <w:right w:val="single" w:sz="4" w:space="4" w:color="auto"/>
        </w:pBdr>
        <w:rPr>
          <w:rFonts w:ascii="Bank Gothic" w:hAnsi="Bank Gothic"/>
          <w:sz w:val="22"/>
        </w:rPr>
      </w:pPr>
    </w:p>
    <w:p w14:paraId="4FB7D9A1" w14:textId="77777777" w:rsidR="00DB0BE4" w:rsidRDefault="00DB0BE4" w:rsidP="00DB0BE4">
      <w:pPr>
        <w:pStyle w:val="BodyText"/>
        <w:pBdr>
          <w:top w:val="none" w:sz="0" w:space="0" w:color="auto"/>
          <w:left w:val="none" w:sz="0" w:space="0" w:color="auto"/>
          <w:bottom w:val="none" w:sz="0" w:space="0" w:color="auto"/>
          <w:right w:val="none" w:sz="0" w:space="0" w:color="auto"/>
        </w:pBdr>
        <w:rPr>
          <w:rFonts w:ascii="Bank Gothic" w:hAnsi="Bank Gothic"/>
          <w:b/>
          <w:sz w:val="20"/>
        </w:rPr>
      </w:pPr>
    </w:p>
    <w:p w14:paraId="5B24DD7D" w14:textId="77777777" w:rsidR="00360C1B" w:rsidRDefault="00360C1B" w:rsidP="00DB0BE4">
      <w:pPr>
        <w:pStyle w:val="BodyText"/>
        <w:pBdr>
          <w:top w:val="none" w:sz="0" w:space="0" w:color="auto"/>
          <w:left w:val="none" w:sz="0" w:space="0" w:color="auto"/>
          <w:bottom w:val="none" w:sz="0" w:space="0" w:color="auto"/>
          <w:right w:val="none" w:sz="0" w:space="0" w:color="auto"/>
        </w:pBdr>
        <w:rPr>
          <w:rFonts w:ascii="Bank Gothic" w:hAnsi="Bank Gothic"/>
          <w:b/>
          <w:sz w:val="20"/>
        </w:rPr>
      </w:pPr>
    </w:p>
    <w:p w14:paraId="3051E2BF" w14:textId="77777777" w:rsidR="00D824FD" w:rsidRDefault="00D824FD" w:rsidP="00DB0BE4">
      <w:pPr>
        <w:pStyle w:val="BodyText"/>
        <w:pBdr>
          <w:top w:val="none" w:sz="0" w:space="0" w:color="auto"/>
          <w:left w:val="none" w:sz="0" w:space="0" w:color="auto"/>
          <w:bottom w:val="none" w:sz="0" w:space="0" w:color="auto"/>
          <w:right w:val="none" w:sz="0" w:space="0" w:color="auto"/>
        </w:pBdr>
        <w:rPr>
          <w:rFonts w:ascii="Bank Gothic" w:hAnsi="Bank Gothic"/>
          <w:b/>
          <w:sz w:val="20"/>
        </w:rPr>
      </w:pPr>
    </w:p>
    <w:p w14:paraId="50748729" w14:textId="77777777" w:rsidR="00D824FD" w:rsidRPr="00D824FD" w:rsidRDefault="00D824FD" w:rsidP="00DB0BE4">
      <w:pPr>
        <w:pStyle w:val="BodyText"/>
        <w:pBdr>
          <w:top w:val="none" w:sz="0" w:space="0" w:color="auto"/>
          <w:left w:val="none" w:sz="0" w:space="0" w:color="auto"/>
          <w:bottom w:val="none" w:sz="0" w:space="0" w:color="auto"/>
          <w:right w:val="none" w:sz="0" w:space="0" w:color="auto"/>
        </w:pBdr>
        <w:rPr>
          <w:rFonts w:ascii="Papyrus" w:hAnsi="Papyrus" w:cs="Papyrus"/>
          <w:b/>
          <w:sz w:val="20"/>
        </w:rPr>
      </w:pPr>
      <w:r>
        <w:rPr>
          <w:rFonts w:ascii="Papyrus" w:hAnsi="Papyrus" w:cs="Papyrus"/>
          <w:b/>
          <w:sz w:val="20"/>
        </w:rPr>
        <w:t>“The greatest compliment one ever paid me was to ask me what I thought and then attend to my answer.”</w:t>
      </w:r>
      <w:r>
        <w:rPr>
          <w:rFonts w:ascii="Papyrus" w:hAnsi="Papyrus" w:cs="Papyrus"/>
          <w:b/>
          <w:sz w:val="20"/>
        </w:rPr>
        <w:tab/>
      </w:r>
      <w:r>
        <w:rPr>
          <w:rFonts w:ascii="Papyrus" w:hAnsi="Papyrus" w:cs="Papyrus"/>
          <w:b/>
          <w:sz w:val="20"/>
        </w:rPr>
        <w:tab/>
      </w:r>
      <w:r>
        <w:rPr>
          <w:rFonts w:ascii="Papyrus" w:hAnsi="Papyrus" w:cs="Papyrus"/>
          <w:b/>
          <w:sz w:val="20"/>
        </w:rPr>
        <w:tab/>
      </w:r>
      <w:r>
        <w:rPr>
          <w:rFonts w:ascii="Papyrus" w:hAnsi="Papyrus" w:cs="Papyrus"/>
          <w:b/>
          <w:sz w:val="20"/>
        </w:rPr>
        <w:tab/>
        <w:t>Henry David Thoreau</w:t>
      </w:r>
    </w:p>
    <w:p w14:paraId="21721E91" w14:textId="77777777" w:rsidR="00D824FD" w:rsidRDefault="00D824FD" w:rsidP="00DB0BE4">
      <w:pPr>
        <w:pStyle w:val="BodyText"/>
        <w:pBdr>
          <w:top w:val="none" w:sz="0" w:space="0" w:color="auto"/>
          <w:left w:val="none" w:sz="0" w:space="0" w:color="auto"/>
          <w:bottom w:val="none" w:sz="0" w:space="0" w:color="auto"/>
          <w:right w:val="none" w:sz="0" w:space="0" w:color="auto"/>
        </w:pBdr>
        <w:rPr>
          <w:rFonts w:ascii="Bank Gothic" w:hAnsi="Bank Gothic"/>
          <w:b/>
        </w:rPr>
      </w:pPr>
    </w:p>
    <w:p w14:paraId="320B5F04" w14:textId="77777777" w:rsidR="00D824FD" w:rsidRDefault="00D824FD" w:rsidP="00DB0BE4">
      <w:pPr>
        <w:pStyle w:val="BodyText"/>
        <w:pBdr>
          <w:top w:val="none" w:sz="0" w:space="0" w:color="auto"/>
          <w:left w:val="none" w:sz="0" w:space="0" w:color="auto"/>
          <w:bottom w:val="none" w:sz="0" w:space="0" w:color="auto"/>
          <w:right w:val="none" w:sz="0" w:space="0" w:color="auto"/>
        </w:pBdr>
        <w:rPr>
          <w:rFonts w:ascii="Bank Gothic" w:hAnsi="Bank Gothic"/>
          <w:b/>
        </w:rPr>
      </w:pPr>
    </w:p>
    <w:p w14:paraId="7948FB16" w14:textId="77777777" w:rsidR="00DB0BE4" w:rsidRPr="00292354" w:rsidRDefault="00870280" w:rsidP="00DB0BE4">
      <w:pPr>
        <w:pStyle w:val="BodyText"/>
        <w:shd w:val="clear" w:color="auto" w:fill="D99594"/>
        <w:jc w:val="center"/>
        <w:rPr>
          <w:rFonts w:ascii="Bank Gothic" w:hAnsi="Bank Gothic"/>
          <w:b/>
        </w:rPr>
      </w:pPr>
      <w:r>
        <w:rPr>
          <w:rFonts w:ascii="Bank Gothic" w:hAnsi="Bank Gothic"/>
          <w:b/>
        </w:rPr>
        <w:t>ENG253</w:t>
      </w:r>
      <w:r w:rsidR="00DB0BE4" w:rsidRPr="00292354">
        <w:rPr>
          <w:rFonts w:ascii="Bank Gothic" w:hAnsi="Bank Gothic"/>
          <w:b/>
        </w:rPr>
        <w:t xml:space="preserve"> COURSE REQUIREMENTS</w:t>
      </w:r>
    </w:p>
    <w:p w14:paraId="7FD564A3" w14:textId="77777777" w:rsidR="00DB0BE4" w:rsidRDefault="00DB0BE4" w:rsidP="00DB0BE4">
      <w:pPr>
        <w:pStyle w:val="BodyText"/>
        <w:pBdr>
          <w:top w:val="none" w:sz="0" w:space="0" w:color="auto"/>
          <w:left w:val="none" w:sz="0" w:space="0" w:color="auto"/>
          <w:bottom w:val="none" w:sz="0" w:space="0" w:color="auto"/>
          <w:right w:val="none" w:sz="0" w:space="0" w:color="auto"/>
        </w:pBdr>
        <w:rPr>
          <w:rFonts w:ascii="Tahoma" w:hAnsi="Tahoma"/>
          <w:b/>
        </w:rPr>
      </w:pPr>
    </w:p>
    <w:p w14:paraId="3882C5EA" w14:textId="77777777" w:rsidR="00870280" w:rsidRPr="00870280" w:rsidRDefault="00870280" w:rsidP="000C2178">
      <w:pPr>
        <w:pStyle w:val="BodyText"/>
        <w:pBdr>
          <w:top w:val="none" w:sz="0" w:space="0" w:color="auto"/>
          <w:left w:val="none" w:sz="0" w:space="0" w:color="auto"/>
          <w:bottom w:val="none" w:sz="0" w:space="0" w:color="auto"/>
          <w:right w:val="none" w:sz="0" w:space="0" w:color="auto"/>
        </w:pBdr>
        <w:rPr>
          <w:rFonts w:ascii="Calibri" w:hAnsi="Calibri"/>
          <w:sz w:val="22"/>
        </w:rPr>
      </w:pPr>
      <w:r w:rsidRPr="00870280">
        <w:rPr>
          <w:rFonts w:ascii="Papyrus" w:hAnsi="Papyrus" w:cs="Papyrus"/>
          <w:b/>
          <w:sz w:val="22"/>
        </w:rPr>
        <w:t>Attendance/Discussion Participation (</w:t>
      </w:r>
      <w:r w:rsidRPr="00360C1B">
        <w:rPr>
          <w:rFonts w:asciiTheme="majorHAnsi" w:hAnsiTheme="majorHAnsi" w:cs="Papyrus"/>
          <w:b/>
          <w:sz w:val="22"/>
        </w:rPr>
        <w:t>40 points</w:t>
      </w:r>
      <w:r w:rsidRPr="00870280">
        <w:rPr>
          <w:rFonts w:ascii="Papyrus" w:hAnsi="Papyrus" w:cs="Papyrus"/>
          <w:b/>
          <w:sz w:val="22"/>
        </w:rPr>
        <w:t>):</w:t>
      </w:r>
      <w:r w:rsidRPr="00870280">
        <w:rPr>
          <w:rFonts w:ascii="Calibri" w:hAnsi="Calibri"/>
          <w:sz w:val="22"/>
        </w:rPr>
        <w:t xml:space="preserve">  Please commit to these goals from the beginning: 1) to attend class regularly, 2) to arrive on time, prepared, and feeling confident, enthusiastic, and generous to share your thoughts and ideas.  </w:t>
      </w:r>
    </w:p>
    <w:p w14:paraId="0BEF6FDD" w14:textId="77777777" w:rsidR="00870280" w:rsidRPr="00870280" w:rsidRDefault="00870280" w:rsidP="00870280">
      <w:pPr>
        <w:pStyle w:val="BodyText"/>
        <w:pBdr>
          <w:top w:val="none" w:sz="0" w:space="0" w:color="auto"/>
          <w:left w:val="none" w:sz="0" w:space="0" w:color="auto"/>
          <w:bottom w:val="none" w:sz="0" w:space="0" w:color="auto"/>
          <w:right w:val="none" w:sz="0" w:space="0" w:color="auto"/>
        </w:pBdr>
        <w:ind w:left="720"/>
        <w:rPr>
          <w:rFonts w:ascii="Calibri" w:hAnsi="Calibri"/>
          <w:sz w:val="22"/>
        </w:rPr>
      </w:pPr>
      <w:r w:rsidRPr="00870280">
        <w:rPr>
          <w:rFonts w:ascii="Calibri" w:hAnsi="Calibri"/>
          <w:sz w:val="22"/>
        </w:rPr>
        <w:t>More than three absences will negatively affect your final grade for the course.  If you miss a class, you are responsible for finding out from a classmate what you missed.  It is also your responsibility to access the handouts that you missed on our Moodle site so that you can be prepared for the next class.</w:t>
      </w:r>
    </w:p>
    <w:p w14:paraId="7BA31A31" w14:textId="77777777" w:rsidR="00870280" w:rsidRPr="00870280" w:rsidRDefault="00870280" w:rsidP="00870280">
      <w:pPr>
        <w:pStyle w:val="BodyText"/>
        <w:pBdr>
          <w:top w:val="none" w:sz="0" w:space="0" w:color="auto"/>
          <w:left w:val="none" w:sz="0" w:space="0" w:color="auto"/>
          <w:bottom w:val="none" w:sz="0" w:space="0" w:color="auto"/>
          <w:right w:val="none" w:sz="0" w:space="0" w:color="auto"/>
        </w:pBdr>
        <w:rPr>
          <w:rFonts w:ascii="Calibri" w:hAnsi="Calibri"/>
          <w:sz w:val="22"/>
        </w:rPr>
      </w:pPr>
      <w:r w:rsidRPr="00870280">
        <w:rPr>
          <w:rFonts w:ascii="Calibri" w:hAnsi="Calibri"/>
          <w:sz w:val="22"/>
        </w:rPr>
        <w:t xml:space="preserve">Keep up with the readings so that you can be an involved, active member of our class discussions.  Prepare for class by reading the assignment carefully, using all of your critical reading and thinking strategies – annotate, look up words and references that you don’t understand, identify important passages you’d like to discuss with us in class.  The </w:t>
      </w:r>
      <w:r w:rsidRPr="00284D77">
        <w:rPr>
          <w:rFonts w:ascii="Calibri" w:hAnsi="Calibri"/>
          <w:i/>
          <w:sz w:val="22"/>
        </w:rPr>
        <w:t>Weekly Reading and Writing</w:t>
      </w:r>
      <w:r w:rsidR="00284D77">
        <w:rPr>
          <w:rFonts w:ascii="Calibri" w:hAnsi="Calibri"/>
          <w:sz w:val="22"/>
        </w:rPr>
        <w:t xml:space="preserve"> assignment handouts</w:t>
      </w:r>
      <w:r w:rsidRPr="00870280">
        <w:rPr>
          <w:rFonts w:ascii="Calibri" w:hAnsi="Calibri"/>
          <w:sz w:val="22"/>
        </w:rPr>
        <w:t xml:space="preserve"> will help you focus your readings and prepare for class.  Also, always keep in mind the </w:t>
      </w:r>
      <w:r w:rsidRPr="00284D77">
        <w:rPr>
          <w:rFonts w:ascii="Calibri" w:hAnsi="Calibri"/>
          <w:i/>
          <w:sz w:val="22"/>
        </w:rPr>
        <w:t>Essay One</w:t>
      </w:r>
      <w:r w:rsidRPr="00870280">
        <w:rPr>
          <w:rFonts w:ascii="Calibri" w:hAnsi="Calibri"/>
          <w:sz w:val="22"/>
        </w:rPr>
        <w:t xml:space="preserve"> and </w:t>
      </w:r>
      <w:r w:rsidRPr="00284D77">
        <w:rPr>
          <w:rFonts w:ascii="Calibri" w:hAnsi="Calibri"/>
          <w:i/>
          <w:sz w:val="22"/>
        </w:rPr>
        <w:t>Essay Two</w:t>
      </w:r>
      <w:r w:rsidRPr="00870280">
        <w:rPr>
          <w:rFonts w:ascii="Calibri" w:hAnsi="Calibri"/>
          <w:sz w:val="22"/>
        </w:rPr>
        <w:t xml:space="preserve"> guidelines.</w:t>
      </w:r>
    </w:p>
    <w:p w14:paraId="3B30D0BF" w14:textId="77777777" w:rsidR="00870280" w:rsidRPr="00870280" w:rsidRDefault="00870280" w:rsidP="00870280">
      <w:pPr>
        <w:pStyle w:val="BodyText"/>
        <w:pBdr>
          <w:top w:val="none" w:sz="0" w:space="0" w:color="auto"/>
          <w:left w:val="none" w:sz="0" w:space="0" w:color="auto"/>
          <w:bottom w:val="none" w:sz="0" w:space="0" w:color="auto"/>
          <w:right w:val="none" w:sz="0" w:space="0" w:color="auto"/>
        </w:pBdr>
        <w:ind w:left="360"/>
        <w:rPr>
          <w:rFonts w:ascii="Calibri" w:hAnsi="Calibri"/>
          <w:sz w:val="22"/>
        </w:rPr>
      </w:pPr>
      <w:r w:rsidRPr="00870280">
        <w:rPr>
          <w:rFonts w:ascii="Calibri" w:hAnsi="Calibri"/>
          <w:sz w:val="22"/>
        </w:rPr>
        <w:t>Classroom Etiquette</w:t>
      </w:r>
      <w:r w:rsidRPr="00870280">
        <w:rPr>
          <w:rFonts w:ascii="Calibri" w:hAnsi="Calibri"/>
          <w:b/>
          <w:sz w:val="22"/>
        </w:rPr>
        <w:t xml:space="preserve">:  </w:t>
      </w:r>
      <w:r w:rsidRPr="00870280">
        <w:rPr>
          <w:rFonts w:ascii="Calibri" w:hAnsi="Calibri"/>
          <w:sz w:val="22"/>
        </w:rPr>
        <w:t xml:space="preserve">Please arrive on time and plan to stay from 1:00 – 3:00 (please don’t leave in the middle of our discussions).  Please remember to turn off your cell phones before class.  I heartily encourage your active note-taking during our discussions; if this must be on a laptop, so be it, but if you’re using a laptop for note-taking, </w:t>
      </w:r>
      <w:r w:rsidR="00284D77">
        <w:rPr>
          <w:rFonts w:ascii="Calibri" w:hAnsi="Calibri"/>
          <w:sz w:val="22"/>
        </w:rPr>
        <w:t>please sit in the back so that you don’t distract others</w:t>
      </w:r>
      <w:r w:rsidRPr="00870280">
        <w:rPr>
          <w:rFonts w:ascii="Calibri" w:hAnsi="Calibri"/>
          <w:sz w:val="22"/>
        </w:rPr>
        <w:t xml:space="preserve">. During class time, focus your attention on our </w:t>
      </w:r>
      <w:r w:rsidR="00284D77">
        <w:rPr>
          <w:rFonts w:ascii="Calibri" w:hAnsi="Calibri"/>
          <w:sz w:val="22"/>
        </w:rPr>
        <w:t xml:space="preserve">discussion of the </w:t>
      </w:r>
      <w:r w:rsidRPr="00870280">
        <w:rPr>
          <w:rFonts w:ascii="Calibri" w:hAnsi="Calibri"/>
          <w:sz w:val="22"/>
        </w:rPr>
        <w:t xml:space="preserve">readings, the themes we’re exploring, and the ways in which you can contribute to our active discussion.  Finally, please don’t </w:t>
      </w:r>
      <w:r w:rsidR="00284D77">
        <w:rPr>
          <w:rFonts w:ascii="Calibri" w:hAnsi="Calibri"/>
          <w:sz w:val="22"/>
        </w:rPr>
        <w:t xml:space="preserve">create or </w:t>
      </w:r>
      <w:r w:rsidRPr="00870280">
        <w:rPr>
          <w:rFonts w:ascii="Calibri" w:hAnsi="Calibri"/>
          <w:sz w:val="22"/>
        </w:rPr>
        <w:t>contribute to “sidebar discussions” which distract and insult the rest of us.</w:t>
      </w:r>
    </w:p>
    <w:p w14:paraId="5AC50E78" w14:textId="77777777" w:rsidR="00870280" w:rsidRPr="00870280" w:rsidRDefault="00870280" w:rsidP="00870280">
      <w:pPr>
        <w:pStyle w:val="BodyText"/>
        <w:pBdr>
          <w:top w:val="none" w:sz="0" w:space="0" w:color="auto"/>
          <w:left w:val="none" w:sz="0" w:space="0" w:color="auto"/>
          <w:bottom w:val="none" w:sz="0" w:space="0" w:color="auto"/>
          <w:right w:val="none" w:sz="0" w:space="0" w:color="auto"/>
        </w:pBdr>
        <w:ind w:left="360"/>
        <w:rPr>
          <w:rFonts w:ascii="Tahoma" w:hAnsi="Tahoma"/>
          <w:sz w:val="22"/>
        </w:rPr>
      </w:pPr>
    </w:p>
    <w:p w14:paraId="54C8FEB0" w14:textId="77777777" w:rsidR="00DB0BE4" w:rsidRPr="00270D53" w:rsidRDefault="00DB0BE4" w:rsidP="00870280">
      <w:pPr>
        <w:pStyle w:val="BodyText"/>
        <w:pBdr>
          <w:top w:val="none" w:sz="0" w:space="0" w:color="auto"/>
          <w:left w:val="none" w:sz="0" w:space="0" w:color="auto"/>
          <w:bottom w:val="none" w:sz="0" w:space="0" w:color="auto"/>
          <w:right w:val="none" w:sz="0" w:space="0" w:color="auto"/>
        </w:pBdr>
        <w:rPr>
          <w:rFonts w:ascii="Tahoma" w:hAnsi="Tahoma"/>
          <w:sz w:val="22"/>
        </w:rPr>
      </w:pPr>
      <w:r w:rsidRPr="00270D53">
        <w:rPr>
          <w:rFonts w:ascii="Papyrus" w:hAnsi="Papyrus"/>
          <w:b/>
          <w:sz w:val="22"/>
        </w:rPr>
        <w:t xml:space="preserve">Weekly Writings </w:t>
      </w:r>
      <w:r w:rsidRPr="00270D53">
        <w:rPr>
          <w:rFonts w:asciiTheme="majorHAnsi" w:hAnsiTheme="majorHAnsi"/>
          <w:sz w:val="22"/>
        </w:rPr>
        <w:t>(60 points</w:t>
      </w:r>
      <w:r>
        <w:rPr>
          <w:rFonts w:asciiTheme="majorHAnsi" w:hAnsiTheme="majorHAnsi"/>
          <w:sz w:val="22"/>
        </w:rPr>
        <w:t xml:space="preserve"> / 6 of your c</w:t>
      </w:r>
      <w:r w:rsidR="005E525D">
        <w:rPr>
          <w:rFonts w:asciiTheme="majorHAnsi" w:hAnsiTheme="majorHAnsi"/>
          <w:sz w:val="22"/>
        </w:rPr>
        <w:t>hoice @ 10 points each, due on</w:t>
      </w:r>
      <w:r>
        <w:rPr>
          <w:rFonts w:asciiTheme="majorHAnsi" w:hAnsiTheme="majorHAnsi"/>
          <w:sz w:val="22"/>
        </w:rPr>
        <w:t xml:space="preserve"> Thursday</w:t>
      </w:r>
      <w:r w:rsidR="005E525D">
        <w:rPr>
          <w:rFonts w:asciiTheme="majorHAnsi" w:hAnsiTheme="majorHAnsi"/>
          <w:sz w:val="22"/>
        </w:rPr>
        <w:t>s</w:t>
      </w:r>
      <w:r>
        <w:rPr>
          <w:rFonts w:asciiTheme="majorHAnsi" w:hAnsiTheme="majorHAnsi"/>
          <w:sz w:val="22"/>
        </w:rPr>
        <w:t>)</w:t>
      </w:r>
      <w:r w:rsidRPr="00270D53">
        <w:rPr>
          <w:rFonts w:ascii="Tahoma" w:hAnsi="Tahoma"/>
          <w:sz w:val="22"/>
        </w:rPr>
        <w:t xml:space="preserve"> </w:t>
      </w:r>
    </w:p>
    <w:p w14:paraId="3DDF91C3" w14:textId="77777777" w:rsidR="00DB0BE4" w:rsidRPr="00270D53" w:rsidRDefault="00F848C8" w:rsidP="00F848C8">
      <w:pPr>
        <w:pStyle w:val="BodyText"/>
        <w:pBdr>
          <w:top w:val="none" w:sz="0" w:space="0" w:color="auto"/>
          <w:left w:val="none" w:sz="0" w:space="0" w:color="auto"/>
          <w:bottom w:val="none" w:sz="0" w:space="0" w:color="auto"/>
          <w:right w:val="none" w:sz="0" w:space="0" w:color="auto"/>
        </w:pBdr>
        <w:ind w:left="360"/>
        <w:rPr>
          <w:rFonts w:asciiTheme="majorHAnsi" w:hAnsiTheme="majorHAnsi"/>
          <w:sz w:val="22"/>
        </w:rPr>
      </w:pPr>
      <w:r>
        <w:rPr>
          <w:rFonts w:asciiTheme="majorHAnsi" w:hAnsiTheme="majorHAnsi"/>
          <w:sz w:val="22"/>
        </w:rPr>
        <w:t xml:space="preserve">Each week I’ll give you an </w:t>
      </w:r>
      <w:r w:rsidRPr="00E12C2E">
        <w:rPr>
          <w:rFonts w:asciiTheme="majorHAnsi" w:hAnsiTheme="majorHAnsi"/>
          <w:i/>
          <w:sz w:val="22"/>
        </w:rPr>
        <w:t>ENG253 Weekly Reading and Writing</w:t>
      </w:r>
      <w:r>
        <w:rPr>
          <w:rFonts w:asciiTheme="majorHAnsi" w:hAnsiTheme="majorHAnsi"/>
          <w:i/>
          <w:sz w:val="22"/>
        </w:rPr>
        <w:t xml:space="preserve"> </w:t>
      </w:r>
      <w:r>
        <w:rPr>
          <w:rFonts w:asciiTheme="majorHAnsi" w:hAnsiTheme="majorHAnsi"/>
          <w:sz w:val="22"/>
        </w:rPr>
        <w:t>handout.  The reading is requi</w:t>
      </w:r>
      <w:r w:rsidR="00371DB3">
        <w:rPr>
          <w:rFonts w:asciiTheme="majorHAnsi" w:hAnsiTheme="majorHAnsi"/>
          <w:sz w:val="22"/>
        </w:rPr>
        <w:t>red each week, but the writing is only required six times, i.e. y</w:t>
      </w:r>
      <w:r>
        <w:rPr>
          <w:rFonts w:asciiTheme="majorHAnsi" w:hAnsiTheme="majorHAnsi"/>
          <w:sz w:val="22"/>
        </w:rPr>
        <w:t xml:space="preserve">ou’ll choose six </w:t>
      </w:r>
      <w:r w:rsidR="005E525D">
        <w:rPr>
          <w:rFonts w:asciiTheme="majorHAnsi" w:hAnsiTheme="majorHAnsi"/>
          <w:sz w:val="22"/>
        </w:rPr>
        <w:t xml:space="preserve">times from </w:t>
      </w:r>
      <w:r>
        <w:rPr>
          <w:rFonts w:asciiTheme="majorHAnsi" w:hAnsiTheme="majorHAnsi"/>
          <w:sz w:val="22"/>
        </w:rPr>
        <w:t xml:space="preserve">the ten weekly possibilities to write.  In your writings, you’ll compose </w:t>
      </w:r>
      <w:r w:rsidRPr="00270D53">
        <w:rPr>
          <w:rFonts w:asciiTheme="majorHAnsi" w:hAnsiTheme="majorHAnsi"/>
          <w:sz w:val="22"/>
        </w:rPr>
        <w:t>response</w:t>
      </w:r>
      <w:r>
        <w:rPr>
          <w:rFonts w:asciiTheme="majorHAnsi" w:hAnsiTheme="majorHAnsi"/>
          <w:sz w:val="22"/>
        </w:rPr>
        <w:t>s</w:t>
      </w:r>
      <w:r w:rsidRPr="00270D53">
        <w:rPr>
          <w:rFonts w:asciiTheme="majorHAnsi" w:hAnsiTheme="majorHAnsi"/>
          <w:sz w:val="22"/>
        </w:rPr>
        <w:t xml:space="preserve"> to questions and discussions about our readings.  This informal writing will give you the opportunity to discover, analyze, and explain what you think and how you feel about the </w:t>
      </w:r>
      <w:r>
        <w:rPr>
          <w:rFonts w:asciiTheme="majorHAnsi" w:hAnsiTheme="majorHAnsi"/>
          <w:sz w:val="22"/>
        </w:rPr>
        <w:t>issues and readings.</w:t>
      </w:r>
      <w:r w:rsidRPr="00270D53">
        <w:rPr>
          <w:rFonts w:asciiTheme="majorHAnsi" w:hAnsiTheme="majorHAnsi"/>
          <w:sz w:val="22"/>
        </w:rPr>
        <w:t xml:space="preserve">   These writings, which are designed for you to reflect on and synthesize what you are learning, will lead you toward your Formal Essay</w:t>
      </w:r>
      <w:r>
        <w:rPr>
          <w:rFonts w:asciiTheme="majorHAnsi" w:hAnsiTheme="majorHAnsi"/>
          <w:sz w:val="22"/>
        </w:rPr>
        <w:t>s</w:t>
      </w:r>
      <w:r w:rsidRPr="00270D53">
        <w:rPr>
          <w:rFonts w:asciiTheme="majorHAnsi" w:hAnsiTheme="majorHAnsi"/>
          <w:sz w:val="22"/>
        </w:rPr>
        <w:t xml:space="preserve"> and provide you with your own writing as foundation.  (</w:t>
      </w:r>
      <w:r w:rsidRPr="00270D53">
        <w:rPr>
          <w:rFonts w:asciiTheme="majorHAnsi" w:hAnsiTheme="majorHAnsi"/>
          <w:b/>
          <w:sz w:val="22"/>
        </w:rPr>
        <w:t>Full credit</w:t>
      </w:r>
      <w:r w:rsidRPr="00270D53">
        <w:rPr>
          <w:rFonts w:asciiTheme="majorHAnsi" w:hAnsiTheme="majorHAnsi"/>
          <w:sz w:val="22"/>
        </w:rPr>
        <w:t xml:space="preserve">: turned in on time, represents clear understanding and critical thinking, well developed.  </w:t>
      </w:r>
      <w:r w:rsidRPr="00270D53">
        <w:rPr>
          <w:rFonts w:asciiTheme="majorHAnsi" w:hAnsiTheme="majorHAnsi"/>
          <w:b/>
          <w:sz w:val="22"/>
        </w:rPr>
        <w:t>Partial credit</w:t>
      </w:r>
      <w:r w:rsidRPr="00270D53">
        <w:rPr>
          <w:rFonts w:asciiTheme="majorHAnsi" w:hAnsiTheme="majorHAnsi"/>
          <w:sz w:val="22"/>
        </w:rPr>
        <w:t>: not turned in on time, or does not represent a clear understanding or clear critical thinking, or is not well developed.  Format: one full page [500 words], include word count in header, word-processed, single-spaced.)</w:t>
      </w:r>
    </w:p>
    <w:p w14:paraId="44E7A7ED" w14:textId="77777777" w:rsidR="00DB0BE4" w:rsidRPr="00270D53" w:rsidRDefault="00DB0BE4" w:rsidP="00DB0BE4">
      <w:pPr>
        <w:pStyle w:val="BodyText"/>
        <w:pBdr>
          <w:top w:val="none" w:sz="0" w:space="0" w:color="auto"/>
          <w:left w:val="none" w:sz="0" w:space="0" w:color="auto"/>
          <w:bottom w:val="none" w:sz="0" w:space="0" w:color="auto"/>
          <w:right w:val="none" w:sz="0" w:space="0" w:color="auto"/>
        </w:pBdr>
        <w:ind w:left="360"/>
        <w:rPr>
          <w:rFonts w:asciiTheme="majorHAnsi" w:hAnsiTheme="majorHAnsi"/>
          <w:sz w:val="22"/>
        </w:rPr>
      </w:pPr>
    </w:p>
    <w:p w14:paraId="062210E2" w14:textId="62FBD3E9" w:rsidR="00360C1B" w:rsidRPr="00F848C8" w:rsidRDefault="00DB0BE4" w:rsidP="00360C1B">
      <w:pPr>
        <w:rPr>
          <w:rFonts w:asciiTheme="majorHAnsi" w:eastAsia="Cambria" w:hAnsiTheme="majorHAnsi"/>
          <w:b/>
          <w:sz w:val="22"/>
        </w:rPr>
      </w:pPr>
      <w:r w:rsidRPr="00270D53">
        <w:rPr>
          <w:rFonts w:ascii="Papyrus" w:hAnsi="Papyrus"/>
          <w:b/>
          <w:sz w:val="22"/>
        </w:rPr>
        <w:t>Essay</w:t>
      </w:r>
      <w:r w:rsidR="00870280">
        <w:rPr>
          <w:rFonts w:ascii="Papyrus" w:hAnsi="Papyrus"/>
          <w:b/>
          <w:sz w:val="22"/>
        </w:rPr>
        <w:t xml:space="preserve"> One</w:t>
      </w:r>
      <w:r w:rsidR="00E311C7">
        <w:rPr>
          <w:rFonts w:ascii="Herculanum" w:eastAsia="Cambria" w:hAnsi="Herculanum"/>
          <w:b/>
          <w:sz w:val="22"/>
        </w:rPr>
        <w:t xml:space="preserve"> Am</w:t>
      </w:r>
      <w:r w:rsidR="00360C1B">
        <w:rPr>
          <w:rFonts w:ascii="Herculanum" w:eastAsia="Cambria" w:hAnsi="Herculanum"/>
          <w:b/>
          <w:sz w:val="22"/>
        </w:rPr>
        <w:t>erican Lit Begin</w:t>
      </w:r>
      <w:r w:rsidR="00870280" w:rsidRPr="00870280">
        <w:rPr>
          <w:rFonts w:ascii="Herculanum" w:eastAsia="Cambria" w:hAnsi="Herculanum"/>
          <w:b/>
          <w:sz w:val="22"/>
        </w:rPr>
        <w:t xml:space="preserve"> to 1820</w:t>
      </w:r>
      <w:r w:rsidR="00E311C7">
        <w:rPr>
          <w:rFonts w:ascii="Herculanum" w:eastAsia="Cambria" w:hAnsi="Herculanum"/>
          <w:b/>
          <w:sz w:val="22"/>
        </w:rPr>
        <w:t xml:space="preserve"> (</w:t>
      </w:r>
      <w:r w:rsidR="00723BA9">
        <w:rPr>
          <w:rFonts w:asciiTheme="majorHAnsi" w:eastAsia="Cambria" w:hAnsiTheme="majorHAnsi"/>
          <w:b/>
          <w:sz w:val="22"/>
        </w:rPr>
        <w:t>30</w:t>
      </w:r>
      <w:r w:rsidR="000768AF">
        <w:rPr>
          <w:rFonts w:asciiTheme="majorHAnsi" w:eastAsia="Cambria" w:hAnsiTheme="majorHAnsi"/>
          <w:b/>
          <w:sz w:val="22"/>
        </w:rPr>
        <w:t xml:space="preserve"> points) DUE </w:t>
      </w:r>
    </w:p>
    <w:p w14:paraId="63EE6326" w14:textId="27808720" w:rsidR="00360C1B" w:rsidRDefault="00360C1B" w:rsidP="00360C1B">
      <w:pPr>
        <w:rPr>
          <w:rFonts w:asciiTheme="majorHAnsi" w:eastAsia="Cambria" w:hAnsiTheme="majorHAnsi"/>
          <w:b/>
          <w:sz w:val="22"/>
        </w:rPr>
      </w:pPr>
      <w:r w:rsidRPr="00270D53">
        <w:rPr>
          <w:rFonts w:ascii="Papyrus" w:hAnsi="Papyrus"/>
          <w:b/>
          <w:sz w:val="22"/>
        </w:rPr>
        <w:t>Essay</w:t>
      </w:r>
      <w:r>
        <w:rPr>
          <w:rFonts w:ascii="Papyrus" w:hAnsi="Papyrus"/>
          <w:b/>
          <w:sz w:val="22"/>
        </w:rPr>
        <w:t xml:space="preserve"> Two</w:t>
      </w:r>
      <w:r>
        <w:rPr>
          <w:rFonts w:ascii="Herculanum" w:eastAsia="Cambria" w:hAnsi="Herculanum"/>
          <w:b/>
          <w:sz w:val="22"/>
        </w:rPr>
        <w:t xml:space="preserve"> American Lit </w:t>
      </w:r>
      <w:r w:rsidRPr="00870280">
        <w:rPr>
          <w:rFonts w:ascii="Herculanum" w:eastAsia="Cambria" w:hAnsi="Herculanum"/>
          <w:b/>
          <w:sz w:val="22"/>
        </w:rPr>
        <w:t>1820</w:t>
      </w:r>
      <w:r>
        <w:rPr>
          <w:rFonts w:ascii="Herculanum" w:eastAsia="Cambria" w:hAnsi="Herculanum"/>
          <w:b/>
          <w:sz w:val="22"/>
        </w:rPr>
        <w:t>- 1865 (</w:t>
      </w:r>
      <w:r w:rsidR="00723BA9">
        <w:rPr>
          <w:rFonts w:asciiTheme="majorHAnsi" w:eastAsia="Cambria" w:hAnsiTheme="majorHAnsi"/>
          <w:b/>
          <w:sz w:val="22"/>
        </w:rPr>
        <w:t>5</w:t>
      </w:r>
      <w:r w:rsidR="000768AF">
        <w:rPr>
          <w:rFonts w:asciiTheme="majorHAnsi" w:eastAsia="Cambria" w:hAnsiTheme="majorHAnsi"/>
          <w:b/>
          <w:sz w:val="22"/>
        </w:rPr>
        <w:t>0 points)</w:t>
      </w:r>
    </w:p>
    <w:p w14:paraId="4B5E99B9" w14:textId="77777777" w:rsidR="00360C1B" w:rsidRPr="00F316DF" w:rsidRDefault="00360C1B" w:rsidP="00360C1B">
      <w:pPr>
        <w:rPr>
          <w:rFonts w:asciiTheme="majorHAnsi" w:eastAsiaTheme="minorHAnsi" w:hAnsiTheme="majorHAnsi" w:cstheme="minorBidi"/>
          <w:sz w:val="22"/>
        </w:rPr>
      </w:pPr>
    </w:p>
    <w:p w14:paraId="073C1DC9" w14:textId="2CAED4DF" w:rsidR="00360C1B" w:rsidRDefault="00360C1B" w:rsidP="00360C1B">
      <w:pPr>
        <w:pStyle w:val="BodyText"/>
        <w:pBdr>
          <w:top w:val="none" w:sz="0" w:space="0" w:color="auto"/>
          <w:left w:val="none" w:sz="0" w:space="0" w:color="auto"/>
          <w:bottom w:val="none" w:sz="0" w:space="0" w:color="auto"/>
          <w:right w:val="none" w:sz="0" w:space="0" w:color="auto"/>
        </w:pBdr>
        <w:rPr>
          <w:rFonts w:asciiTheme="majorHAnsi" w:hAnsiTheme="majorHAnsi"/>
          <w:b/>
          <w:sz w:val="22"/>
        </w:rPr>
      </w:pPr>
      <w:r>
        <w:rPr>
          <w:rFonts w:ascii="Papyrus" w:hAnsi="Papyrus"/>
          <w:b/>
          <w:sz w:val="22"/>
        </w:rPr>
        <w:t>One History</w:t>
      </w:r>
      <w:r w:rsidR="000768AF">
        <w:rPr>
          <w:rFonts w:ascii="Papyrus" w:hAnsi="Papyrus"/>
          <w:b/>
          <w:sz w:val="22"/>
        </w:rPr>
        <w:t>/Culture</w:t>
      </w:r>
      <w:r>
        <w:rPr>
          <w:rFonts w:ascii="Papyrus" w:hAnsi="Papyrus"/>
          <w:b/>
          <w:sz w:val="22"/>
        </w:rPr>
        <w:t xml:space="preserve"> Group Presentation </w:t>
      </w:r>
      <w:r>
        <w:rPr>
          <w:rFonts w:asciiTheme="majorHAnsi" w:hAnsiTheme="majorHAnsi"/>
          <w:sz w:val="22"/>
        </w:rPr>
        <w:t>(</w:t>
      </w:r>
      <w:r>
        <w:rPr>
          <w:rFonts w:asciiTheme="majorHAnsi" w:hAnsiTheme="majorHAnsi"/>
          <w:b/>
          <w:sz w:val="22"/>
        </w:rPr>
        <w:t>20 points) OR</w:t>
      </w:r>
    </w:p>
    <w:p w14:paraId="284F57C0" w14:textId="77777777" w:rsidR="00DB0BE4" w:rsidRDefault="00360C1B" w:rsidP="0047254B">
      <w:pPr>
        <w:pStyle w:val="BodyText"/>
        <w:pBdr>
          <w:top w:val="none" w:sz="0" w:space="0" w:color="auto"/>
          <w:left w:val="none" w:sz="0" w:space="0" w:color="auto"/>
          <w:bottom w:val="none" w:sz="0" w:space="0" w:color="auto"/>
          <w:right w:val="none" w:sz="0" w:space="0" w:color="auto"/>
        </w:pBdr>
        <w:rPr>
          <w:rFonts w:ascii="Arial" w:hAnsi="Arial"/>
        </w:rPr>
      </w:pPr>
      <w:r>
        <w:rPr>
          <w:rFonts w:ascii="Papyrus" w:hAnsi="Papyrus"/>
          <w:b/>
          <w:sz w:val="22"/>
        </w:rPr>
        <w:t>Enrichment Events (</w:t>
      </w:r>
      <w:r w:rsidRPr="00360C1B">
        <w:rPr>
          <w:rFonts w:asciiTheme="minorHAnsi" w:hAnsiTheme="minorHAnsi"/>
          <w:b/>
          <w:sz w:val="22"/>
        </w:rPr>
        <w:t>two event write-ups at 10 points each = 2</w:t>
      </w:r>
      <w:r w:rsidR="00DB0BE4" w:rsidRPr="00360C1B">
        <w:rPr>
          <w:rFonts w:asciiTheme="minorHAnsi" w:hAnsiTheme="minorHAnsi"/>
          <w:b/>
          <w:sz w:val="22"/>
        </w:rPr>
        <w:t>0</w:t>
      </w:r>
      <w:r w:rsidRPr="00360C1B">
        <w:rPr>
          <w:rFonts w:asciiTheme="minorHAnsi" w:hAnsiTheme="minorHAnsi"/>
          <w:b/>
          <w:sz w:val="22"/>
        </w:rPr>
        <w:t xml:space="preserve"> points</w:t>
      </w:r>
      <w:r w:rsidR="00DB0BE4" w:rsidRPr="00270D53">
        <w:rPr>
          <w:rFonts w:ascii="Papyrus" w:hAnsi="Papyrus"/>
          <w:b/>
          <w:sz w:val="22"/>
        </w:rPr>
        <w:t>)</w:t>
      </w:r>
      <w:r w:rsidR="00F848C8">
        <w:rPr>
          <w:rFonts w:asciiTheme="majorHAnsi" w:hAnsiTheme="majorHAnsi"/>
          <w:sz w:val="22"/>
        </w:rPr>
        <w:t xml:space="preserve"> </w:t>
      </w:r>
      <w:r w:rsidR="00DB0BE4" w:rsidRPr="00270D53">
        <w:rPr>
          <w:rFonts w:asciiTheme="majorHAnsi" w:hAnsiTheme="majorHAnsi"/>
          <w:sz w:val="22"/>
        </w:rPr>
        <w:t xml:space="preserve">Choose your own events, on or off campus, related to </w:t>
      </w:r>
      <w:r>
        <w:rPr>
          <w:rFonts w:asciiTheme="majorHAnsi" w:hAnsiTheme="majorHAnsi"/>
          <w:sz w:val="22"/>
        </w:rPr>
        <w:t xml:space="preserve">American Lit </w:t>
      </w:r>
      <w:r w:rsidR="00DB0BE4" w:rsidRPr="00270D53">
        <w:rPr>
          <w:rFonts w:asciiTheme="majorHAnsi" w:hAnsiTheme="majorHAnsi"/>
          <w:sz w:val="22"/>
        </w:rPr>
        <w:t>class concepts or artists (e.g. speakers, celebrations, exhibitions, club meetings) and write a summary and response. Format</w:t>
      </w:r>
      <w:r w:rsidR="005E525D">
        <w:rPr>
          <w:rFonts w:asciiTheme="majorHAnsi" w:hAnsiTheme="majorHAnsi"/>
          <w:sz w:val="22"/>
        </w:rPr>
        <w:t xml:space="preserve"> for both</w:t>
      </w:r>
      <w:r w:rsidR="00DB0BE4" w:rsidRPr="00270D53">
        <w:rPr>
          <w:rFonts w:asciiTheme="majorHAnsi" w:hAnsiTheme="majorHAnsi"/>
          <w:sz w:val="22"/>
        </w:rPr>
        <w:t>: one full page [500 words], include word count in header, word-processed, single-spaced.</w:t>
      </w:r>
      <w:r w:rsidR="0047254B">
        <w:rPr>
          <w:rFonts w:ascii="Arial" w:hAnsi="Arial"/>
        </w:rPr>
        <w:t xml:space="preserve"> </w:t>
      </w:r>
    </w:p>
    <w:p w14:paraId="06E62F47" w14:textId="77777777" w:rsidR="00DB0BE4" w:rsidRDefault="00DB0BE4">
      <w:pPr>
        <w:rPr>
          <w:rFonts w:ascii="Arial" w:hAnsi="Arial"/>
          <w:b/>
          <w:sz w:val="22"/>
        </w:rPr>
      </w:pPr>
    </w:p>
    <w:sectPr w:rsidR="00DB0B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Herculanum">
    <w:altName w:val="Copperplate Gothic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adley Hand ITC TT-Bold">
    <w:altName w:val="Courier New"/>
    <w:charset w:val="00"/>
    <w:family w:val="auto"/>
    <w:pitch w:val="variable"/>
    <w:sig w:usb0="00000001" w:usb1="5000204A" w:usb2="00000000" w:usb3="00000000" w:csb0="00000111" w:csb1="00000000"/>
  </w:font>
  <w:font w:name="Bank Gothic">
    <w:altName w:val="Courier New"/>
    <w:charset w:val="00"/>
    <w:family w:val="auto"/>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1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293D4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F3F409D"/>
    <w:multiLevelType w:val="singleLevel"/>
    <w:tmpl w:val="04090001"/>
    <w:lvl w:ilvl="0">
      <w:start w:val="1"/>
      <w:numFmt w:val="bullet"/>
      <w:lvlText w:val=""/>
      <w:lvlJc w:val="left"/>
      <w:pPr>
        <w:ind w:left="720" w:hanging="360"/>
      </w:pPr>
      <w:rPr>
        <w:rFonts w:ascii="Symbol" w:hAnsi="Symbol" w:hint="default"/>
      </w:rPr>
    </w:lvl>
  </w:abstractNum>
  <w:abstractNum w:abstractNumId="3">
    <w:nsid w:val="35B1745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484001F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4DCC43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DFB53A8"/>
    <w:multiLevelType w:val="hybridMultilevel"/>
    <w:tmpl w:val="586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D460B"/>
    <w:multiLevelType w:val="singleLevel"/>
    <w:tmpl w:val="04090001"/>
    <w:lvl w:ilvl="0">
      <w:start w:val="1"/>
      <w:numFmt w:val="bullet"/>
      <w:lvlText w:val=""/>
      <w:lvlJc w:val="left"/>
      <w:pPr>
        <w:ind w:left="720" w:hanging="360"/>
      </w:pPr>
      <w:rPr>
        <w:rFonts w:ascii="Symbol" w:hAnsi="Symbol" w:hint="default"/>
      </w:rPr>
    </w:lvl>
  </w:abstractNum>
  <w:num w:numId="1">
    <w:abstractNumId w:val="4"/>
  </w:num>
  <w:num w:numId="2">
    <w:abstractNumId w:val="0"/>
  </w:num>
  <w:num w:numId="3">
    <w:abstractNumId w:val="5"/>
  </w:num>
  <w:num w:numId="4">
    <w:abstractNumId w:val="3"/>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FC"/>
    <w:rsid w:val="000768AF"/>
    <w:rsid w:val="000C2178"/>
    <w:rsid w:val="00161F0E"/>
    <w:rsid w:val="002372FC"/>
    <w:rsid w:val="00266F95"/>
    <w:rsid w:val="00284D77"/>
    <w:rsid w:val="00360C1B"/>
    <w:rsid w:val="00371DB3"/>
    <w:rsid w:val="0047254B"/>
    <w:rsid w:val="004A7C7F"/>
    <w:rsid w:val="005E525D"/>
    <w:rsid w:val="00723BA9"/>
    <w:rsid w:val="00870280"/>
    <w:rsid w:val="00C0068A"/>
    <w:rsid w:val="00D824FD"/>
    <w:rsid w:val="00DB0BE4"/>
    <w:rsid w:val="00E311C7"/>
    <w:rsid w:val="00F848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FA92F1"/>
  <w14:defaultImageDpi w14:val="300"/>
  <w15:docId w15:val="{BC58462A-2451-4DAF-8614-7CBB937C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2160" w:hanging="2160"/>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ind w:left="720"/>
      <w:outlineLvl w:val="4"/>
    </w:pPr>
    <w:rPr>
      <w:rFonts w:ascii="Arial" w:hAnsi="Arial"/>
      <w:sz w:val="24"/>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ind w:left="2160" w:hanging="2160"/>
      <w:jc w:val="right"/>
      <w:outlineLvl w:val="6"/>
    </w:pPr>
    <w:rPr>
      <w:rFonts w:ascii="Papyrus" w:hAnsi="Papyr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character" w:styleId="Hyperlink">
    <w:name w:val="Hyperlink"/>
    <w:basedOn w:val="DefaultParagraphFont"/>
    <w:rPr>
      <w:color w:val="0000FF"/>
      <w:u w:val="single"/>
    </w:rPr>
  </w:style>
  <w:style w:type="paragraph" w:styleId="Subtitle">
    <w:name w:val="Subtitle"/>
    <w:basedOn w:val="Normal"/>
    <w:qFormat/>
    <w:pPr>
      <w:jc w:val="center"/>
    </w:pPr>
    <w:rPr>
      <w:rFonts w:ascii="Arial" w:hAnsi="Arial"/>
      <w:b/>
      <w:sz w:val="28"/>
    </w:rPr>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rFonts w:ascii="Baskerville Old Face" w:hAnsi="Baskerville Old Face"/>
      <w:sz w:val="24"/>
    </w:rPr>
  </w:style>
  <w:style w:type="paragraph" w:styleId="BodyText2">
    <w:name w:val="Body Text 2"/>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in.havenick@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ENG 254</vt:lpstr>
    </vt:vector>
  </TitlesOfParts>
  <Company>LBCC</Company>
  <LinksUpToDate>false</LinksUpToDate>
  <CharactersWithSpaces>5676</CharactersWithSpaces>
  <SharedDoc>false</SharedDoc>
  <HLinks>
    <vt:vector size="6" baseType="variant">
      <vt:variant>
        <vt:i4>2555983</vt:i4>
      </vt:variant>
      <vt:variant>
        <vt:i4>0</vt:i4>
      </vt:variant>
      <vt:variant>
        <vt:i4>0</vt:i4>
      </vt:variant>
      <vt:variant>
        <vt:i4>5</vt:i4>
      </vt:variant>
      <vt:variant>
        <vt:lpwstr>mailto:robin.havenick@linnbenton.edu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254</dc:title>
  <dc:subject/>
  <dc:creator>AHSS Staff</dc:creator>
  <cp:keywords/>
  <dc:description/>
  <cp:lastModifiedBy>Christine M. Acker</cp:lastModifiedBy>
  <cp:revision>2</cp:revision>
  <cp:lastPrinted>2012-01-03T05:19:00Z</cp:lastPrinted>
  <dcterms:created xsi:type="dcterms:W3CDTF">2015-01-13T22:36:00Z</dcterms:created>
  <dcterms:modified xsi:type="dcterms:W3CDTF">2015-01-13T22:36:00Z</dcterms:modified>
</cp:coreProperties>
</file>