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LBCC Diagnostic Imaging Program</w:t>
      </w:r>
    </w:p>
    <w:p w:rsidR="00681F35" w:rsidRDefault="001761C4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681F35" w:rsidRDefault="001761C4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PHARMACOLOGY FOR IMAGING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Winter 2019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color w:val="000000"/>
        </w:rPr>
      </w:pPr>
    </w:p>
    <w:tbl>
      <w:tblPr>
        <w:tblStyle w:val="a"/>
        <w:tblW w:w="9810" w:type="dxa"/>
        <w:tblInd w:w="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8190"/>
      </w:tblGrid>
      <w:tr w:rsidR="00681F35">
        <w:tc>
          <w:tcPr>
            <w:tcW w:w="16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68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68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color w:val="000000"/>
              </w:rPr>
            </w:pPr>
          </w:p>
        </w:tc>
      </w:tr>
      <w:tr w:rsidR="00681F35">
        <w:tc>
          <w:tcPr>
            <w:tcW w:w="16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Instructor:</w:t>
            </w:r>
          </w:p>
        </w:tc>
        <w:tc>
          <w:tcPr>
            <w:tcW w:w="81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color w:val="0000EE"/>
                <w:u w:val="single"/>
              </w:rPr>
            </w:pPr>
            <w:r>
              <w:rPr>
                <w:rFonts w:ascii="Arial" w:eastAsia="Arial" w:hAnsi="Arial" w:cs="Arial"/>
              </w:rPr>
              <w:t>Jennifer Clayton</w:t>
            </w:r>
            <w:hyperlink r:id="rId6" w:history="1"/>
          </w:p>
        </w:tc>
      </w:tr>
      <w:tr w:rsidR="00681F35">
        <w:tc>
          <w:tcPr>
            <w:tcW w:w="16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color w:val="000000"/>
              </w:rPr>
            </w:pPr>
            <w:hyperlink r:id="rId7" w:history="1">
              <w:r>
                <w:rPr>
                  <w:rFonts w:ascii="Arial" w:eastAsia="Arial" w:hAnsi="Arial" w:cs="Arial"/>
                  <w:b/>
                  <w:color w:val="000000"/>
                </w:rPr>
                <w:t>Email:</w:t>
              </w:r>
            </w:hyperlink>
          </w:p>
        </w:tc>
        <w:tc>
          <w:tcPr>
            <w:tcW w:w="81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color w:val="000000"/>
              </w:rPr>
            </w:pPr>
            <w:hyperlink r:id="rId8" w:history="1"/>
            <w:hyperlink r:id="rId9">
              <w:r>
                <w:rPr>
                  <w:rFonts w:ascii="Arial" w:eastAsia="Arial" w:hAnsi="Arial" w:cs="Arial"/>
                </w:rPr>
                <w:t>claytoj@linnbenton.edu</w:t>
              </w:r>
            </w:hyperlink>
            <w:hyperlink r:id="rId10">
              <w:r>
                <w:rPr>
                  <w:rFonts w:ascii="Arial" w:eastAsia="Arial" w:hAnsi="Arial" w:cs="Arial"/>
                </w:rPr>
                <w:t xml:space="preserve"> (best way to contact me)</w:t>
              </w:r>
            </w:hyperlink>
            <w:hyperlink r:id="rId11" w:history="1"/>
          </w:p>
        </w:tc>
      </w:tr>
      <w:tr w:rsidR="00681F35">
        <w:tc>
          <w:tcPr>
            <w:tcW w:w="16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Office Hours:</w:t>
            </w:r>
          </w:p>
        </w:tc>
        <w:tc>
          <w:tcPr>
            <w:tcW w:w="81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By appointment; please email to set up a mutually convenient time. </w:t>
            </w:r>
          </w:p>
        </w:tc>
      </w:tr>
    </w:tbl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REQUIRED TEXT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u w:val="single"/>
        </w:rPr>
        <w:t>Pharmacology and Drug Administration for Imaging Technologists, Second Edition</w:t>
      </w:r>
      <w:r>
        <w:rPr>
          <w:rFonts w:ascii="Arial" w:eastAsia="Arial" w:hAnsi="Arial" w:cs="Arial"/>
          <w:i/>
          <w:color w:val="000000"/>
        </w:rPr>
        <w:t xml:space="preserve"> by Steven C. Jensen and Michael P. Peppers (provided)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i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ADDITIONAL TEXTS: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i/>
          <w:color w:val="000000"/>
        </w:rPr>
      </w:pPr>
      <w:proofErr w:type="spellStart"/>
      <w:r>
        <w:rPr>
          <w:rFonts w:ascii="Arial" w:eastAsia="Arial" w:hAnsi="Arial" w:cs="Arial"/>
          <w:i/>
        </w:rPr>
        <w:t>Bontrager</w:t>
      </w:r>
      <w:proofErr w:type="spellEnd"/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COURSE DESCRIPTION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  <w:u w:val="single"/>
        </w:rPr>
        <w:t>This is an asynchronous course.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</w:rPr>
        <w:t>It is designed to coordinate with the other courses offered this term; some material may be redundant, but it is the pharmacological mistakes that kill people; so redundancy is an effective tool for remembering.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course is designed to provide the basi</w:t>
      </w:r>
      <w:r>
        <w:rPr>
          <w:rFonts w:ascii="Arial" w:eastAsia="Arial" w:hAnsi="Arial" w:cs="Arial"/>
          <w:color w:val="000000"/>
        </w:rPr>
        <w:t xml:space="preserve">c concepts of pharmacology. Concepts of pharmacology including modes of action, uses, </w:t>
      </w:r>
      <w:proofErr w:type="gramStart"/>
      <w:r>
        <w:rPr>
          <w:rFonts w:ascii="Arial" w:eastAsia="Arial" w:hAnsi="Arial" w:cs="Arial"/>
          <w:color w:val="000000"/>
        </w:rPr>
        <w:t>modes</w:t>
      </w:r>
      <w:proofErr w:type="gramEnd"/>
      <w:r>
        <w:rPr>
          <w:rFonts w:ascii="Arial" w:eastAsia="Arial" w:hAnsi="Arial" w:cs="Arial"/>
          <w:color w:val="000000"/>
        </w:rPr>
        <w:t xml:space="preserve"> of excretion, side effects, and patient care required for specific pharmacologic agents will be covered.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b/>
          <w:color w:val="CC0000"/>
          <w:sz w:val="28"/>
          <w:szCs w:val="28"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/>
          <w:i/>
          <w:sz w:val="22"/>
          <w:szCs w:val="22"/>
        </w:rPr>
        <w:t>SCHEDULE:</w:t>
      </w:r>
    </w:p>
    <w:p w:rsidR="00681F35" w:rsidRDefault="001761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</w:pPr>
      <w:r>
        <w:rPr>
          <w:rFonts w:ascii="Calibri" w:eastAsia="Calibri" w:hAnsi="Calibri" w:cs="Calibri"/>
          <w:b/>
          <w:sz w:val="22"/>
          <w:szCs w:val="22"/>
        </w:rPr>
        <w:t>Students are expected to review weekly recorded</w:t>
      </w:r>
      <w:r>
        <w:rPr>
          <w:rFonts w:ascii="Calibri" w:eastAsia="Calibri" w:hAnsi="Calibri" w:cs="Calibri"/>
          <w:b/>
          <w:sz w:val="22"/>
          <w:szCs w:val="22"/>
        </w:rPr>
        <w:t xml:space="preserve"> lectures. Students are encouraged to set up a specific day and time each week to do this. </w:t>
      </w:r>
      <w:r>
        <w:rPr>
          <w:rFonts w:ascii="Calibri" w:eastAsia="Calibri" w:hAnsi="Calibri" w:cs="Calibri"/>
          <w:sz w:val="22"/>
          <w:szCs w:val="22"/>
        </w:rPr>
        <w:t>It is expected students will review all lectures.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b/>
          <w:color w:val="CC0000"/>
          <w:sz w:val="28"/>
          <w:szCs w:val="28"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COURSE OBJECTIVES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>Distinguish between chemical, generic, and trade names of select drugs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 xml:space="preserve">Describe pharmacokinetic and </w:t>
      </w:r>
      <w:proofErr w:type="spellStart"/>
      <w:r>
        <w:rPr>
          <w:rFonts w:ascii="Arial" w:eastAsia="Arial" w:hAnsi="Arial" w:cs="Arial"/>
          <w:color w:val="000000"/>
        </w:rPr>
        <w:t>pharmacodynamic</w:t>
      </w:r>
      <w:proofErr w:type="spellEnd"/>
      <w:r>
        <w:rPr>
          <w:rFonts w:ascii="Arial" w:eastAsia="Arial" w:hAnsi="Arial" w:cs="Arial"/>
          <w:color w:val="000000"/>
        </w:rPr>
        <w:t xml:space="preserve"> principles of drugs.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>Explain the action, uses, and side effects for select drugs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>Define the categories of contrast agents and give specific examples for each category.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>Explain the pharmacology of barium and iodi</w:t>
      </w:r>
      <w:r>
        <w:rPr>
          <w:rFonts w:ascii="Arial" w:eastAsia="Arial" w:hAnsi="Arial" w:cs="Arial"/>
          <w:color w:val="000000"/>
        </w:rPr>
        <w:t>ne compounds.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 xml:space="preserve">Describe methods and techniques for administering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color w:val="000000"/>
        </w:rPr>
        <w:t>arious types of contrast agents.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>Differentiate between the two major sites of intravenous drug administration.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>Identify, describe and document complications associated with intravenous drug t</w:t>
      </w:r>
      <w:r>
        <w:rPr>
          <w:rFonts w:ascii="Arial" w:eastAsia="Arial" w:hAnsi="Arial" w:cs="Arial"/>
          <w:color w:val="000000"/>
        </w:rPr>
        <w:t>herapy and appropriate actions to resolve these complications.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 xml:space="preserve">Describe pharmacokinetic and </w:t>
      </w:r>
      <w:proofErr w:type="spellStart"/>
      <w:r>
        <w:rPr>
          <w:rFonts w:ascii="Arial" w:eastAsia="Arial" w:hAnsi="Arial" w:cs="Arial"/>
          <w:color w:val="000000"/>
        </w:rPr>
        <w:t>pharmacodynamic</w:t>
      </w:r>
      <w:proofErr w:type="spellEnd"/>
      <w:r>
        <w:rPr>
          <w:rFonts w:ascii="Arial" w:eastAsia="Arial" w:hAnsi="Arial" w:cs="Arial"/>
          <w:color w:val="000000"/>
        </w:rPr>
        <w:t xml:space="preserve"> principles of drugs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>Identify and describe the various routes of drug administration</w:t>
      </w:r>
    </w:p>
    <w:p w:rsidR="00681F35" w:rsidRDefault="001761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rPr>
          <w:rFonts w:ascii="Arial" w:eastAsia="Arial" w:hAnsi="Arial" w:cs="Arial"/>
          <w:color w:val="000000"/>
        </w:rPr>
        <w:t>Explain the current legal and ethical status of the radiographer</w:t>
      </w:r>
      <w:r>
        <w:rPr>
          <w:rFonts w:ascii="Arial" w:eastAsia="Arial" w:hAnsi="Arial" w:cs="Arial"/>
          <w:color w:val="000000"/>
        </w:rPr>
        <w:t>’s role in drug administratio</w:t>
      </w:r>
      <w:r>
        <w:rPr>
          <w:rFonts w:ascii="Arial" w:eastAsia="Arial" w:hAnsi="Arial" w:cs="Arial"/>
        </w:rPr>
        <w:t>n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 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sz w:val="24"/>
          <w:szCs w:val="24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sz w:val="24"/>
          <w:szCs w:val="24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sz w:val="24"/>
          <w:szCs w:val="24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sz w:val="24"/>
          <w:szCs w:val="24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sz w:val="24"/>
          <w:szCs w:val="24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sz w:val="24"/>
          <w:szCs w:val="24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sz w:val="24"/>
          <w:szCs w:val="24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095" w:type="dxa"/>
        <w:tblInd w:w="-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40"/>
        <w:gridCol w:w="1860"/>
        <w:gridCol w:w="1080"/>
        <w:gridCol w:w="1605"/>
        <w:gridCol w:w="2370"/>
        <w:gridCol w:w="1605"/>
      </w:tblGrid>
      <w:tr w:rsidR="00681F35"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Week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Dates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Topic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Reading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Drug</w:t>
            </w:r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Assignment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Assessment</w:t>
            </w:r>
          </w:p>
        </w:tc>
      </w:tr>
      <w:tr w:rsidR="00681F35"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1/7-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1/11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Principles of Pharmacology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1 &amp; 2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Barium sulfate</w:t>
            </w:r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Review &amp; Study Guide Questions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Due 1/11 @ 11:59 p.m.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Quiz 1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Due 1/11 @ 11:59 p.m.</w:t>
            </w:r>
          </w:p>
        </w:tc>
      </w:tr>
      <w:tr w:rsidR="00681F35"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1/14-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1/18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Routes of Administration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8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Gastroview</w:t>
            </w:r>
            <w:proofErr w:type="spellEnd"/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Review &amp; Study Guide Questions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Due 1/18 @ 11:59 </w:t>
            </w:r>
            <w:proofErr w:type="spellStart"/>
            <w:r>
              <w:rPr>
                <w:rFonts w:ascii="Arial" w:eastAsia="Arial" w:hAnsi="Arial" w:cs="Arial"/>
                <w:b/>
              </w:rPr>
              <w:t>p.m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Quiz 2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Due 1/18 @ 11:59 p.m.</w:t>
            </w:r>
          </w:p>
        </w:tc>
      </w:tr>
      <w:tr w:rsidR="00681F35"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1/21-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1/25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Infection Prevention &amp; Control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9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Conray</w:t>
            </w:r>
            <w:proofErr w:type="spellEnd"/>
            <w:r>
              <w:rPr>
                <w:rFonts w:ascii="Arial" w:eastAsia="Arial" w:hAnsi="Arial" w:cs="Arial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</w:rPr>
              <w:t>Cystoconray</w:t>
            </w:r>
            <w:proofErr w:type="spellEnd"/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Review &amp; Study Guide Questions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Due 1/25 @ 11:59 </w:t>
            </w:r>
            <w:proofErr w:type="spellStart"/>
            <w:r>
              <w:rPr>
                <w:rFonts w:ascii="Arial" w:eastAsia="Arial" w:hAnsi="Arial" w:cs="Arial"/>
                <w:b/>
              </w:rPr>
              <w:t>p.m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Quiz 3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Due 1/25 @ 11:59 p.m.</w:t>
            </w:r>
          </w:p>
        </w:tc>
      </w:tr>
      <w:tr w:rsidR="00681F35"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1/28-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2/1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Biopharmaceutics &amp; Pharmacokinetics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3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Metformin</w:t>
            </w:r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Review &amp; Study Guide Questions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Due 2/1 @ 11:59 </w:t>
            </w:r>
            <w:proofErr w:type="spellStart"/>
            <w:r>
              <w:rPr>
                <w:rFonts w:ascii="Arial" w:eastAsia="Arial" w:hAnsi="Arial" w:cs="Arial"/>
                <w:b/>
              </w:rPr>
              <w:t>p.m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Quiz 4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Due 2/1 @ 11:59 p.m.</w:t>
            </w:r>
          </w:p>
        </w:tc>
      </w:tr>
      <w:tr w:rsidR="00681F35"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2/4-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2/8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Pharmacodynamics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4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DepoMedrol</w:t>
            </w:r>
            <w:proofErr w:type="spellEnd"/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Review &amp;</w:t>
            </w:r>
            <w:r>
              <w:rPr>
                <w:rFonts w:ascii="Arial" w:eastAsia="Arial" w:hAnsi="Arial" w:cs="Arial"/>
              </w:rPr>
              <w:t xml:space="preserve"> Study Guide Questions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Due 2/8 @ 11:59 </w:t>
            </w:r>
            <w:proofErr w:type="spellStart"/>
            <w:r>
              <w:rPr>
                <w:rFonts w:ascii="Arial" w:eastAsia="Arial" w:hAnsi="Arial" w:cs="Arial"/>
                <w:b/>
              </w:rPr>
              <w:t>p.m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Quiz 5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Due 2/8 @ 11:59 p.m.</w:t>
            </w:r>
          </w:p>
        </w:tc>
      </w:tr>
      <w:tr w:rsidR="00681F35">
        <w:trPr>
          <w:trHeight w:val="480"/>
        </w:trPr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2/11-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2/15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Classifications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5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Isovue</w:t>
            </w:r>
            <w:proofErr w:type="spellEnd"/>
            <w:r>
              <w:rPr>
                <w:rFonts w:ascii="Arial" w:eastAsia="Arial" w:hAnsi="Arial" w:cs="Arial"/>
              </w:rPr>
              <w:t xml:space="preserve"> &amp;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Omnipaque</w:t>
            </w:r>
            <w:proofErr w:type="spellEnd"/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Review &amp; Study Guide Questions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Due 2/15 @ 11:59 </w:t>
            </w:r>
            <w:proofErr w:type="spellStart"/>
            <w:r>
              <w:rPr>
                <w:rFonts w:ascii="Arial" w:eastAsia="Arial" w:hAnsi="Arial" w:cs="Arial"/>
                <w:b/>
              </w:rPr>
              <w:t>p.m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Quiz 6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Due 2/15 @ 11:59 p.m.</w:t>
            </w:r>
          </w:p>
        </w:tc>
      </w:tr>
      <w:tr w:rsidR="00681F35"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2/18-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2/22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Contrast Agents part 1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6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Magnevist</w:t>
            </w:r>
            <w:proofErr w:type="spellEnd"/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Review &amp; Study Guide Questions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Due 2/22 @ 11:59 </w:t>
            </w:r>
            <w:proofErr w:type="spellStart"/>
            <w:r>
              <w:rPr>
                <w:rFonts w:ascii="Arial" w:eastAsia="Arial" w:hAnsi="Arial" w:cs="Arial"/>
                <w:b/>
              </w:rPr>
              <w:t>p.m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Quiz 7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Due 2/22 @ 11:59 p.m.</w:t>
            </w:r>
          </w:p>
        </w:tc>
      </w:tr>
      <w:tr w:rsidR="00681F35"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2/25-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Contrast Agents part 2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7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Optiray</w:t>
            </w:r>
            <w:proofErr w:type="spellEnd"/>
            <w:r>
              <w:rPr>
                <w:rFonts w:ascii="Arial" w:eastAsia="Arial" w:hAnsi="Arial" w:cs="Arial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</w:rPr>
              <w:t>Visipaque</w:t>
            </w:r>
            <w:proofErr w:type="spellEnd"/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Review &amp; Study Guide Questions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Due 3/1 @ 11:59 </w:t>
            </w:r>
            <w:proofErr w:type="spellStart"/>
            <w:r>
              <w:rPr>
                <w:rFonts w:ascii="Arial" w:eastAsia="Arial" w:hAnsi="Arial" w:cs="Arial"/>
                <w:b/>
              </w:rPr>
              <w:t>p.m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Quiz 8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Due 3/1 @ 11:59 p.m.</w:t>
            </w:r>
          </w:p>
        </w:tc>
      </w:tr>
      <w:tr w:rsidR="00681F35"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3/4-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3/8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Sedation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10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Ativan/Versed</w:t>
            </w:r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Review &amp; Study Guide Questions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Due 3/8 @ 11:59 </w:t>
            </w:r>
            <w:proofErr w:type="spellStart"/>
            <w:r>
              <w:rPr>
                <w:rFonts w:ascii="Arial" w:eastAsia="Arial" w:hAnsi="Arial" w:cs="Arial"/>
                <w:b/>
              </w:rPr>
              <w:t>p.m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Quiz 9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Due 3/8 @ 11:59 p.m.</w:t>
            </w:r>
          </w:p>
        </w:tc>
      </w:tr>
      <w:tr w:rsidR="00681F35"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3/11-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3/15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Medications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11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Epinephrine &amp; Lidocaine</w:t>
            </w:r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Review &amp; Study Guide Questions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Due 3/15 @ 11:59 </w:t>
            </w:r>
            <w:proofErr w:type="spellStart"/>
            <w:r>
              <w:rPr>
                <w:rFonts w:ascii="Arial" w:eastAsia="Arial" w:hAnsi="Arial" w:cs="Arial"/>
                <w:b/>
              </w:rPr>
              <w:t>p.m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Quiz 10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Due 3/15 @ 11:59 p.m.</w:t>
            </w:r>
          </w:p>
        </w:tc>
      </w:tr>
      <w:tr w:rsidR="00681F35">
        <w:trPr>
          <w:trHeight w:val="680"/>
        </w:trPr>
        <w:tc>
          <w:tcPr>
            <w:tcW w:w="7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3/16-</w:t>
            </w:r>
          </w:p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3/20</w:t>
            </w:r>
          </w:p>
        </w:tc>
        <w:tc>
          <w:tcPr>
            <w:tcW w:w="1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Finals Week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1-11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  <w:tc>
          <w:tcPr>
            <w:tcW w:w="23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  <w:tc>
          <w:tcPr>
            <w:tcW w:w="16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1F35" w:rsidRDefault="00176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Final</w:t>
            </w:r>
          </w:p>
        </w:tc>
      </w:tr>
    </w:tbl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COURSE OUTLINE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R</w:t>
      </w:r>
      <w:r>
        <w:rPr>
          <w:rFonts w:ascii="Arial" w:eastAsia="Arial" w:hAnsi="Arial" w:cs="Arial"/>
          <w:b/>
        </w:rPr>
        <w:t>EQUIREMENTS: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NO LATE WORK WILL BE ACCEPTED.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color w:val="000000"/>
        </w:rPr>
      </w:pPr>
    </w:p>
    <w:p w:rsidR="00681F35" w:rsidRDefault="001761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rPr>
          <w:rFonts w:ascii="Arial" w:eastAsia="Arial" w:hAnsi="Arial" w:cs="Arial"/>
          <w:b/>
        </w:rPr>
        <w:t xml:space="preserve">RECORDED LECTURES: (0 points) </w:t>
      </w:r>
      <w:r>
        <w:rPr>
          <w:rFonts w:ascii="Arial" w:eastAsia="Arial" w:hAnsi="Arial" w:cs="Arial"/>
        </w:rPr>
        <w:t xml:space="preserve">Students will be required to view recorded lectures every week. 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681F35" w:rsidRDefault="001761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rPr>
          <w:rFonts w:ascii="Arial" w:eastAsia="Arial" w:hAnsi="Arial" w:cs="Arial"/>
          <w:b/>
        </w:rPr>
        <w:t xml:space="preserve">STUDY QUESTIONS: (6 points each) </w:t>
      </w:r>
      <w:r>
        <w:rPr>
          <w:rFonts w:ascii="Arial" w:eastAsia="Arial" w:hAnsi="Arial" w:cs="Arial"/>
        </w:rPr>
        <w:t xml:space="preserve">Students are required to create 2 review questions each week that pertain to the reading material and the lecture material.  These questions will be used to create a final exam study guide.  There is </w:t>
      </w:r>
      <w:proofErr w:type="gramStart"/>
      <w:r>
        <w:rPr>
          <w:rFonts w:ascii="Arial" w:eastAsia="Arial" w:hAnsi="Arial" w:cs="Arial"/>
        </w:rPr>
        <w:t>specific criteria</w:t>
      </w:r>
      <w:proofErr w:type="gramEnd"/>
      <w:r>
        <w:rPr>
          <w:rFonts w:ascii="Arial" w:eastAsia="Arial" w:hAnsi="Arial" w:cs="Arial"/>
        </w:rPr>
        <w:t xml:space="preserve"> the q</w:t>
      </w:r>
      <w:r>
        <w:rPr>
          <w:rFonts w:ascii="Arial" w:eastAsia="Arial" w:hAnsi="Arial" w:cs="Arial"/>
        </w:rPr>
        <w:t>uestion must meet for credit.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1761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rPr>
          <w:rFonts w:ascii="Arial" w:eastAsia="Arial" w:hAnsi="Arial" w:cs="Arial"/>
          <w:b/>
        </w:rPr>
        <w:t xml:space="preserve">NOTE CARDS: (5-20 points each week) </w:t>
      </w:r>
      <w:r>
        <w:rPr>
          <w:rFonts w:ascii="Arial" w:eastAsia="Arial" w:hAnsi="Arial" w:cs="Arial"/>
        </w:rPr>
        <w:t>Students will be required to create note cards per drug research assignment.  The drug information sheets and drug package insert documents will be provided.  These note cards will be creat</w:t>
      </w:r>
      <w:r>
        <w:rPr>
          <w:rFonts w:ascii="Arial" w:eastAsia="Arial" w:hAnsi="Arial" w:cs="Arial"/>
        </w:rPr>
        <w:t xml:space="preserve">ed in a website called </w:t>
      </w:r>
      <w:hyperlink r:id="rId12">
        <w:r>
          <w:rPr>
            <w:rFonts w:ascii="Arial" w:eastAsia="Arial" w:hAnsi="Arial" w:cs="Arial"/>
            <w:color w:val="1155CC"/>
            <w:u w:val="single"/>
          </w:rPr>
          <w:t>Quizlet</w:t>
        </w:r>
      </w:hyperlink>
      <w:r>
        <w:rPr>
          <w:rFonts w:ascii="Arial" w:eastAsia="Arial" w:hAnsi="Arial" w:cs="Arial"/>
        </w:rPr>
        <w:t xml:space="preserve">.  Students will be asked to create a </w:t>
      </w:r>
      <w:proofErr w:type="spellStart"/>
      <w:r>
        <w:rPr>
          <w:rFonts w:ascii="Arial" w:eastAsia="Arial" w:hAnsi="Arial" w:cs="Arial"/>
        </w:rPr>
        <w:t>quizlet</w:t>
      </w:r>
      <w:proofErr w:type="spellEnd"/>
      <w:r>
        <w:rPr>
          <w:rFonts w:ascii="Arial" w:eastAsia="Arial" w:hAnsi="Arial" w:cs="Arial"/>
        </w:rPr>
        <w:t xml:space="preserve"> account and create electronic notecards.  </w:t>
      </w:r>
      <w:r>
        <w:rPr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b/>
        </w:rPr>
        <w:t>Use your</w:t>
      </w:r>
      <w:r>
        <w:rPr>
          <w:rFonts w:ascii="Arial" w:eastAsia="Arial" w:hAnsi="Arial" w:cs="Arial"/>
          <w:b/>
          <w:color w:val="FF0000"/>
        </w:rPr>
        <w:t xml:space="preserve"> x# for your username </w:t>
      </w:r>
      <w:r>
        <w:rPr>
          <w:rFonts w:ascii="Arial" w:eastAsia="Arial" w:hAnsi="Arial" w:cs="Arial"/>
          <w:b/>
        </w:rPr>
        <w:t xml:space="preserve">and </w:t>
      </w:r>
      <w:r>
        <w:rPr>
          <w:rFonts w:ascii="Arial" w:eastAsia="Arial" w:hAnsi="Arial" w:cs="Arial"/>
          <w:b/>
          <w:color w:val="FF0000"/>
        </w:rPr>
        <w:t xml:space="preserve">radiology </w:t>
      </w:r>
      <w:r>
        <w:rPr>
          <w:rFonts w:ascii="Arial" w:eastAsia="Arial" w:hAnsi="Arial" w:cs="Arial"/>
          <w:b/>
        </w:rPr>
        <w:t>for your password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</w:rPr>
        <w:t>so that I can access your cards each week and grade what you have done.</w:t>
      </w:r>
      <w:r>
        <w:rPr>
          <w:rFonts w:ascii="Arial" w:eastAsia="Arial" w:hAnsi="Arial" w:cs="Arial"/>
        </w:rPr>
        <w:t xml:space="preserve">  If you already have an account established, just email me your username and password.  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</w:rPr>
      </w:pPr>
    </w:p>
    <w:p w:rsidR="00681F35" w:rsidRDefault="001761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rPr>
          <w:rFonts w:ascii="Arial" w:eastAsia="Arial" w:hAnsi="Arial" w:cs="Arial"/>
          <w:b/>
        </w:rPr>
        <w:t xml:space="preserve">QUIZZES: (10-20 points each) </w:t>
      </w:r>
      <w:r>
        <w:rPr>
          <w:rFonts w:ascii="Arial" w:eastAsia="Arial" w:hAnsi="Arial" w:cs="Arial"/>
          <w:color w:val="000000"/>
        </w:rPr>
        <w:t xml:space="preserve">There will be </w:t>
      </w:r>
      <w:r>
        <w:rPr>
          <w:rFonts w:ascii="Arial" w:eastAsia="Arial" w:hAnsi="Arial" w:cs="Arial"/>
        </w:rPr>
        <w:t xml:space="preserve">quizzes </w:t>
      </w:r>
      <w:r>
        <w:rPr>
          <w:rFonts w:ascii="Arial" w:eastAsia="Arial" w:hAnsi="Arial" w:cs="Arial"/>
          <w:color w:val="000000"/>
        </w:rPr>
        <w:t xml:space="preserve">for most modules.  These </w:t>
      </w:r>
      <w:r>
        <w:rPr>
          <w:rFonts w:ascii="Arial" w:eastAsia="Arial" w:hAnsi="Arial" w:cs="Arial"/>
        </w:rPr>
        <w:t>quizzes will be ov</w:t>
      </w:r>
      <w:r>
        <w:rPr>
          <w:rFonts w:ascii="Arial" w:eastAsia="Arial" w:hAnsi="Arial" w:cs="Arial"/>
        </w:rPr>
        <w:t xml:space="preserve">er material covered in the module.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Quizzes </w:t>
      </w:r>
      <w:r>
        <w:rPr>
          <w:rFonts w:ascii="Arial" w:eastAsia="Arial" w:hAnsi="Arial" w:cs="Arial"/>
          <w:color w:val="000000"/>
        </w:rPr>
        <w:t xml:space="preserve">are timed and may only be taken once. </w:t>
      </w:r>
      <w:r>
        <w:rPr>
          <w:rFonts w:ascii="Arial" w:eastAsia="Arial" w:hAnsi="Arial" w:cs="Arial"/>
        </w:rPr>
        <w:t>Quizzes</w:t>
      </w:r>
      <w:r>
        <w:rPr>
          <w:rFonts w:ascii="Arial" w:eastAsia="Arial" w:hAnsi="Arial" w:cs="Arial"/>
          <w:color w:val="000000"/>
        </w:rPr>
        <w:t xml:space="preserve"> are closed note/book. All students are expected to take </w:t>
      </w:r>
      <w:r>
        <w:rPr>
          <w:rFonts w:ascii="Arial" w:eastAsia="Arial" w:hAnsi="Arial" w:cs="Arial"/>
        </w:rPr>
        <w:t>quizzes</w:t>
      </w:r>
      <w:r>
        <w:rPr>
          <w:rFonts w:ascii="Arial" w:eastAsia="Arial" w:hAnsi="Arial" w:cs="Arial"/>
          <w:color w:val="000000"/>
        </w:rPr>
        <w:t xml:space="preserve"> with integrity, jeopardizing </w:t>
      </w:r>
      <w:r>
        <w:rPr>
          <w:rFonts w:ascii="Arial" w:eastAsia="Arial" w:hAnsi="Arial" w:cs="Arial"/>
        </w:rPr>
        <w:t>neither</w:t>
      </w:r>
      <w:r>
        <w:rPr>
          <w:rFonts w:ascii="Arial" w:eastAsia="Arial" w:hAnsi="Arial" w:cs="Arial"/>
          <w:color w:val="000000"/>
        </w:rPr>
        <w:t xml:space="preserve"> their own work, nor that of others.  These</w:t>
      </w:r>
      <w:r>
        <w:rPr>
          <w:rFonts w:ascii="Arial" w:eastAsia="Arial" w:hAnsi="Arial" w:cs="Arial"/>
        </w:rPr>
        <w:t xml:space="preserve"> quizzes can be complet</w:t>
      </w:r>
      <w:r>
        <w:rPr>
          <w:rFonts w:ascii="Arial" w:eastAsia="Arial" w:hAnsi="Arial" w:cs="Arial"/>
        </w:rPr>
        <w:t xml:space="preserve">ed at any time during the week the module opens, </w:t>
      </w:r>
      <w:r>
        <w:rPr>
          <w:rFonts w:ascii="Arial" w:eastAsia="Arial" w:hAnsi="Arial" w:cs="Arial"/>
          <w:b/>
          <w:color w:val="FF0000"/>
          <w:u w:val="single"/>
        </w:rPr>
        <w:t>but must be completed and submitted by 11:59 p.m. on Fridays</w:t>
      </w:r>
      <w:r>
        <w:rPr>
          <w:rFonts w:ascii="Arial" w:eastAsia="Arial" w:hAnsi="Arial" w:cs="Arial"/>
        </w:rPr>
        <w:t xml:space="preserve">.   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" w:hAnsi="Arial" w:cs="Arial"/>
          <w:color w:val="000000"/>
        </w:rPr>
      </w:pPr>
    </w:p>
    <w:p w:rsidR="00681F35" w:rsidRDefault="001761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50"/>
      </w:pPr>
      <w:r>
        <w:rPr>
          <w:rFonts w:ascii="Arial" w:eastAsia="Arial" w:hAnsi="Arial" w:cs="Arial"/>
          <w:b/>
          <w:color w:val="000000"/>
        </w:rPr>
        <w:t>FINAL EXAM (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00 points)</w:t>
      </w:r>
      <w:r>
        <w:rPr>
          <w:rFonts w:ascii="Arial" w:eastAsia="Arial" w:hAnsi="Arial" w:cs="Arial"/>
          <w:b/>
        </w:rPr>
        <w:t xml:space="preserve"> 100 questions: </w:t>
      </w:r>
      <w:r>
        <w:rPr>
          <w:rFonts w:ascii="Arial" w:eastAsia="Arial" w:hAnsi="Arial" w:cs="Arial"/>
          <w:color w:val="000000"/>
        </w:rPr>
        <w:t>The final exam will be comprehensive</w:t>
      </w:r>
      <w:r>
        <w:rPr>
          <w:rFonts w:ascii="Arial" w:eastAsia="Arial" w:hAnsi="Arial" w:cs="Arial"/>
        </w:rPr>
        <w:t xml:space="preserve"> and will include material from the text, from the recorded lectures, 10 student submitted questions, and from all of the researched drugs. 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t will be closed note, closed book and </w:t>
      </w:r>
      <w:r>
        <w:rPr>
          <w:rFonts w:ascii="Arial" w:eastAsia="Arial" w:hAnsi="Arial" w:cs="Arial"/>
        </w:rPr>
        <w:t xml:space="preserve">can be taken on your own anytime between 3/15 and 3/20.  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150"/>
        <w:rPr>
          <w:rFonts w:ascii="Arial" w:eastAsia="Arial" w:hAnsi="Arial" w:cs="Arial"/>
          <w:b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15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Grading:  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15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A = 91.5%-100%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15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B = 82.5%-91.4%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15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 = 74.5%-82.4%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15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F = &lt; 74.5% </w:t>
      </w:r>
      <w:r>
        <w:rPr>
          <w:b/>
        </w:rPr>
        <w:t>Less than 74.5% will result in the student being withdrawn from the program and receiving a letter grade of F on their transcripts.  The Diagnostic Imaging Program does not utilize the grade D.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   </w:t>
      </w:r>
      <w:r>
        <w:rPr>
          <w:rFonts w:ascii="Arial" w:eastAsia="Arial" w:hAnsi="Arial" w:cs="Arial"/>
          <w:b/>
          <w:color w:val="000000"/>
        </w:rPr>
        <w:t>                                                     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Syllabus Change Policy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Syllabus is subject to change as the instructor evaluates the progress of students and their understanding of concepts.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Course Failure Policy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a student fails this course, he or she must withdraw from the program.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Discrimination Policy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LBCC prohibits unlawful discrimination based on race, color, religion, ethnicity, </w:t>
      </w:r>
      <w:proofErr w:type="gramStart"/>
      <w:r>
        <w:rPr>
          <w:rFonts w:ascii="Arial" w:eastAsia="Arial" w:hAnsi="Arial" w:cs="Arial"/>
        </w:rPr>
        <w:t>use</w:t>
      </w:r>
      <w:proofErr w:type="gramEnd"/>
      <w:r>
        <w:rPr>
          <w:rFonts w:ascii="Arial" w:eastAsia="Arial" w:hAnsi="Arial" w:cs="Arial"/>
        </w:rPr>
        <w:t xml:space="preserve"> of native language, national origin, sex, sexual orientation, marital sta</w:t>
      </w:r>
      <w:r>
        <w:rPr>
          <w:rFonts w:ascii="Arial" w:eastAsia="Arial" w:hAnsi="Arial" w:cs="Arial"/>
        </w:rPr>
        <w:t xml:space="preserve">tus, disability, veteran status, age, or any other status protected under applicable federal, state, or local laws. </w:t>
      </w:r>
      <w:proofErr w:type="gramStart"/>
      <w:r>
        <w:rPr>
          <w:rFonts w:ascii="Arial" w:eastAsia="Arial" w:hAnsi="Arial" w:cs="Arial"/>
        </w:rPr>
        <w:t>For further information visit</w:t>
      </w:r>
      <w:hyperlink r:id="rId13">
        <w:r>
          <w:rPr>
            <w:rFonts w:ascii="Arial" w:eastAsia="Arial" w:hAnsi="Arial" w:cs="Arial"/>
            <w:color w:val="1155CC"/>
            <w:u w:val="single"/>
          </w:rPr>
          <w:t xml:space="preserve"> </w:t>
        </w:r>
      </w:hyperlink>
      <w:hyperlink r:id="rId14">
        <w:r>
          <w:rPr>
            <w:rFonts w:ascii="Arial" w:eastAsia="Arial" w:hAnsi="Arial" w:cs="Arial"/>
            <w:color w:val="000099"/>
            <w:u w:val="single"/>
          </w:rPr>
          <w:t>http://po.linnbenton.edu/BPsandARs/</w:t>
        </w:r>
      </w:hyperlink>
      <w:r>
        <w:rPr>
          <w:rFonts w:ascii="Arial" w:eastAsia="Arial" w:hAnsi="Arial" w:cs="Arial"/>
        </w:rPr>
        <w:t>.</w:t>
      </w:r>
      <w:proofErr w:type="gramEnd"/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Disability Services Policy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should meet with your instructor during the first week of class if:</w:t>
      </w:r>
    </w:p>
    <w:p w:rsidR="00681F35" w:rsidRDefault="001761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</w:pPr>
      <w:r>
        <w:rPr>
          <w:rFonts w:ascii="Arial" w:eastAsia="Arial" w:hAnsi="Arial" w:cs="Arial"/>
        </w:rPr>
        <w:t>You have a documented disability and need accommodations,</w:t>
      </w:r>
    </w:p>
    <w:p w:rsidR="00681F35" w:rsidRDefault="001761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</w:pPr>
      <w:r>
        <w:rPr>
          <w:rFonts w:ascii="Arial" w:eastAsia="Arial" w:hAnsi="Arial" w:cs="Arial"/>
        </w:rPr>
        <w:t>Your instructor needs to know medical information about you, or</w:t>
      </w:r>
    </w:p>
    <w:p w:rsidR="00681F35" w:rsidRDefault="001761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</w:pPr>
      <w:r>
        <w:rPr>
          <w:rFonts w:ascii="Arial" w:eastAsia="Arial" w:hAnsi="Arial" w:cs="Arial"/>
        </w:rPr>
        <w:t>You need special arrangements in the event of an emergency.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not accessed services and think you may need them, please contact Disability Services, 541-917-4789.</w:t>
      </w: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</w:p>
    <w:p w:rsidR="00681F35" w:rsidRDefault="00681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</w:rPr>
      </w:pP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Statement of In</w:t>
      </w:r>
      <w:r>
        <w:rPr>
          <w:rFonts w:ascii="Arial" w:eastAsia="Arial" w:hAnsi="Arial" w:cs="Arial"/>
          <w:b/>
        </w:rPr>
        <w:t>clusion</w:t>
      </w:r>
    </w:p>
    <w:p w:rsidR="00681F35" w:rsidRDefault="001761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50" w:right="150" w:hanging="1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The LBCC community is enriched by diversity. Everyone has the right to think, learn, and work together in an environment of respect, tolerance, and goodwill. I actively support this right regardless of race, creed, color, personal opinion, gender, </w:t>
      </w:r>
      <w:r>
        <w:rPr>
          <w:rFonts w:ascii="Arial" w:eastAsia="Arial" w:hAnsi="Arial" w:cs="Arial"/>
        </w:rPr>
        <w:t>sexual orientation, or any of the countless other ways in which we are diverse. (Related to Board Policy #1016)</w:t>
      </w:r>
    </w:p>
    <w:sectPr w:rsidR="00681F35">
      <w:pgSz w:w="11220" w:h="15840"/>
      <w:pgMar w:top="600" w:right="750" w:bottom="600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238"/>
    <w:multiLevelType w:val="multilevel"/>
    <w:tmpl w:val="5BB253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28DA636C"/>
    <w:multiLevelType w:val="multilevel"/>
    <w:tmpl w:val="D1B4797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5E040F3D"/>
    <w:multiLevelType w:val="multilevel"/>
    <w:tmpl w:val="857200E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66896970"/>
    <w:multiLevelType w:val="multilevel"/>
    <w:tmpl w:val="84C4F1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1F35"/>
    <w:rsid w:val="001761C4"/>
    <w:rsid w:val="006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highlight w:val="white"/>
        <w:lang w:val="en-US" w:eastAsia="en-US" w:bidi="ar-SA"/>
      </w:rPr>
    </w:rPrDefault>
    <w:pPrDefault>
      <w:pPr>
        <w:widowControl w:val="0"/>
        <w:spacing w:before="90" w:after="90"/>
        <w:ind w:left="90" w:right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240"/>
      <w:ind w:left="0" w:right="0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pPr>
      <w:spacing w:before="225" w:after="225"/>
      <w:ind w:left="0" w:right="0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pPr>
      <w:spacing w:before="240" w:after="240"/>
      <w:ind w:left="0" w:right="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pPr>
      <w:spacing w:before="255" w:after="255"/>
      <w:ind w:left="0" w:right="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spacing w:before="255" w:after="255"/>
      <w:ind w:left="0" w:right="0"/>
      <w:outlineLvl w:val="4"/>
    </w:pPr>
    <w:rPr>
      <w:b/>
      <w:color w:val="000000"/>
      <w:sz w:val="16"/>
      <w:szCs w:val="16"/>
    </w:rPr>
  </w:style>
  <w:style w:type="paragraph" w:styleId="Heading6">
    <w:name w:val="heading 6"/>
    <w:basedOn w:val="Normal"/>
    <w:next w:val="Normal"/>
    <w:pPr>
      <w:spacing w:before="360" w:after="360"/>
      <w:ind w:left="0" w:right="0"/>
      <w:outlineLvl w:val="5"/>
    </w:pPr>
    <w:rPr>
      <w:b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highlight w:val="white"/>
        <w:lang w:val="en-US" w:eastAsia="en-US" w:bidi="ar-SA"/>
      </w:rPr>
    </w:rPrDefault>
    <w:pPrDefault>
      <w:pPr>
        <w:widowControl w:val="0"/>
        <w:spacing w:before="90" w:after="90"/>
        <w:ind w:left="90" w:right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240"/>
      <w:ind w:left="0" w:right="0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pPr>
      <w:spacing w:before="225" w:after="225"/>
      <w:ind w:left="0" w:right="0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pPr>
      <w:spacing w:before="240" w:after="240"/>
      <w:ind w:left="0" w:right="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pPr>
      <w:spacing w:before="255" w:after="255"/>
      <w:ind w:left="0" w:right="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spacing w:before="255" w:after="255"/>
      <w:ind w:left="0" w:right="0"/>
      <w:outlineLvl w:val="4"/>
    </w:pPr>
    <w:rPr>
      <w:b/>
      <w:color w:val="000000"/>
      <w:sz w:val="16"/>
      <w:szCs w:val="16"/>
    </w:rPr>
  </w:style>
  <w:style w:type="paragraph" w:styleId="Heading6">
    <w:name w:val="heading 6"/>
    <w:basedOn w:val="Normal"/>
    <w:next w:val="Normal"/>
    <w:pPr>
      <w:spacing w:before="360" w:after="360"/>
      <w:ind w:left="0" w:right="0"/>
      <w:outlineLvl w:val="5"/>
    </w:pPr>
    <w:rPr>
      <w:b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y.mallory@linnbenton.edu" TargetMode="External"/><Relationship Id="rId13" Type="http://schemas.openxmlformats.org/officeDocument/2006/relationships/hyperlink" Target="http://po.linnbenton.edu/BPsandA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acy.mallory@linnbenton.edu" TargetMode="External"/><Relationship Id="rId12" Type="http://schemas.openxmlformats.org/officeDocument/2006/relationships/hyperlink" Target="http://quizlet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tacy.mallory@linnbenton.edu" TargetMode="External"/><Relationship Id="rId11" Type="http://schemas.openxmlformats.org/officeDocument/2006/relationships/hyperlink" Target="mailto:stacy.mallory@linnbento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acy.mallory@linnbent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ytoj@linnbenton.edu" TargetMode="External"/><Relationship Id="rId14" Type="http://schemas.openxmlformats.org/officeDocument/2006/relationships/hyperlink" Target="http://po.linnbenton.edu/BPsand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 Byram</dc:creator>
  <cp:lastModifiedBy>Byram</cp:lastModifiedBy>
  <cp:revision>2</cp:revision>
  <dcterms:created xsi:type="dcterms:W3CDTF">2019-03-20T20:06:00Z</dcterms:created>
  <dcterms:modified xsi:type="dcterms:W3CDTF">2019-03-20T20:06:00Z</dcterms:modified>
</cp:coreProperties>
</file>