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Horse Breeding Management-Lecture Portion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AT 277A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Tentative Course Syllabus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Course Number: </w:t>
      </w:r>
      <w:r>
        <w:rPr>
          <w:rFonts w:ascii="Times New Roman" w:eastAsia="Times New Roman" w:hAnsi="Times New Roman" w:cs="Times New Roman"/>
          <w:sz w:val="24"/>
          <w:szCs w:val="24"/>
        </w:rPr>
        <w:t>AT 277A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Credits: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(2 hours of lecture/week) on Tuesday and Thursday: 1:00pm-1:50pm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Location: </w:t>
      </w:r>
      <w:r>
        <w:rPr>
          <w:rFonts w:ascii="Times New Roman" w:eastAsia="Times New Roman" w:hAnsi="Times New Roman" w:cs="Times New Roman"/>
          <w:sz w:val="24"/>
          <w:szCs w:val="24"/>
        </w:rPr>
        <w:t>White Oak Hall Room 203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Text: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The Horse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Evans,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Borton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Hintz and Van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Vleck</w:t>
      </w:r>
      <w:proofErr w:type="spellEnd"/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Instructor: </w:t>
      </w:r>
      <w:r>
        <w:rPr>
          <w:rFonts w:ascii="Times New Roman" w:eastAsia="Times New Roman" w:hAnsi="Times New Roman" w:cs="Times New Roman"/>
          <w:sz w:val="24"/>
          <w:szCs w:val="24"/>
        </w:rPr>
        <w:t>Jenny Strooband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Instructor Office: </w:t>
      </w:r>
      <w:r>
        <w:rPr>
          <w:rFonts w:ascii="Times New Roman" w:eastAsia="Times New Roman" w:hAnsi="Times New Roman" w:cs="Times New Roman"/>
          <w:sz w:val="24"/>
          <w:szCs w:val="24"/>
        </w:rPr>
        <w:t>WOH 127C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Office Hours: </w:t>
      </w:r>
      <w:r>
        <w:rPr>
          <w:rFonts w:ascii="Times New Roman" w:eastAsia="Times New Roman" w:hAnsi="Times New Roman" w:cs="Times New Roman"/>
          <w:sz w:val="24"/>
          <w:szCs w:val="24"/>
        </w:rPr>
        <w:t>Monday 10-11am; Tuesday 12 - 1pm; Thursday 2-3pm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(541) 917-4767 – office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</w:rPr>
        <w:t>: jenny.strooband@linnbenton.edu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Instructor Website:</w:t>
      </w:r>
      <w:hyperlink r:id="rId5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 HYPERLINK "http://cf.linnbenton.edu/mathsci/ansci/stroobj/web.cfm?pgID=1050"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http://cf.linnbenton.edu/mathsci/ansci/stroobj/web.cfm?pgID=1050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</w:rPr>
        <w:t>Moodle:</w:t>
      </w:r>
      <w:hyperlink r:id="rId6"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 HYPERLINK "http://elearning.linnbenton.edu/"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http://elearning.linnbenton.edu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fldChar w:fldCharType="end"/>
      </w:r>
      <w:r>
        <w:t xml:space="preserve"> 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Course Objectives: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As a result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of taking this class students will be able to:</w:t>
      </w:r>
    </w:p>
    <w:p w:rsidR="00D35F5F" w:rsidRDefault="009F1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Identify and describe functions of male and female reproductive anatomy.</w:t>
      </w:r>
    </w:p>
    <w:p w:rsidR="00D35F5F" w:rsidRDefault="009F1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Develop an estrus synchronization program for horses.</w:t>
      </w:r>
    </w:p>
    <w:p w:rsidR="00D35F5F" w:rsidRDefault="009F1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Calculate the immediate </w:t>
      </w:r>
      <w:proofErr w:type="gramStart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use and cooled</w:t>
      </w:r>
      <w:proofErr w:type="gramEnd"/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 and shipped dosages for a stallion ejaculate.</w:t>
      </w:r>
    </w:p>
    <w:p w:rsidR="00D35F5F" w:rsidRDefault="009F1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Employ effective semen handling techniques for proper insemination.</w:t>
      </w:r>
    </w:p>
    <w:p w:rsidR="00D35F5F" w:rsidRDefault="009F1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222222"/>
          <w:sz w:val="24"/>
          <w:szCs w:val="24"/>
          <w:highlight w:val="white"/>
        </w:rPr>
      </w:pP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Summarize the stages of labor and parturition, and explain optimal neonatal experiences.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***This class is the first class in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two class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sequence.  It is followed in the spring by AT 277B, Horse Breeding Management Laboratory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.*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**</w:t>
      </w:r>
    </w:p>
    <w:p w:rsidR="00D35F5F" w:rsidRDefault="00D35F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Grading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will 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quizzes, 2 midterms, a handful of homework problems, and a final for this class.  If you need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miss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 exam please let me know in advance. You will have until the next class period to make it up.  The midterm schedule is tentative, but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I’ll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try to stick to it.  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Quizzes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 x 30 = about 60 points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Midterm I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100 points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Midterm II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100 points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Homework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 x 40 = 80 points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 (cumulative)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150 points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Total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490 points</w:t>
      </w:r>
    </w:p>
    <w:p w:rsidR="009F1570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570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Incomplete Grades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 incomplete (I) may be given if the student completes the majority of the coursework, but for some VALID reason misses a portion of the course.  Before an “I”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given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student and the instructor must agree on when the work will be completed.  If the student does not complete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they may receive a letter grade for the course. </w:t>
      </w:r>
    </w:p>
    <w:p w:rsidR="00D35F5F" w:rsidRDefault="00D35F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Other Information: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Persons having questions about or requests for special needs and accommodations should contact the Disability Coordinator at Linn-Benton Community College, RCH-105, 6500 Pacific Blvd. SW, Albany, Oregon 97321, Phone (541)-917-4690 or via Oregon Telecommunications Relay TTD at 1-800-735-2900 or 1-800-735-1232. Contact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should be made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72 hours or more in advance of the event.</w:t>
      </w:r>
    </w:p>
    <w:p w:rsidR="00D35F5F" w:rsidRDefault="00D35F5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LBCC Comprehensive Statement of Nondiscrimination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LBCC prohibits unlawful discrimination based on race, color, religion, ethnicity,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native language, national origin, sex, sexual orientation, marital status, disability, veteran status, age, or any other status protected under applicable federal, state, or local laws. For further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see Board Policy P1015 at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>
        <w:fldChar w:fldCharType="begin"/>
      </w:r>
      <w:r>
        <w:instrText xml:space="preserve"> HYPERLINK "http://po.linnbenton.edu/BPsandARs/"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http://po.linnbenton.edu/BPsandARs/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end"/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br w:type="page"/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Tentative Class Schedule</w:t>
      </w:r>
    </w:p>
    <w:p w:rsidR="00D35F5F" w:rsidRDefault="00D35F5F">
      <w:pPr>
        <w:pStyle w:val="Heading2"/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rFonts w:ascii="Arial" w:eastAsia="Arial" w:hAnsi="Arial" w:cs="Arial"/>
          <w:sz w:val="24"/>
          <w:szCs w:val="24"/>
        </w:rPr>
      </w:pPr>
      <w:bookmarkStart w:id="1" w:name="_beibeb99wwr3" w:colFirst="0" w:colLast="0"/>
      <w:bookmarkEnd w:id="1"/>
    </w:p>
    <w:p w:rsidR="00D35F5F" w:rsidRDefault="009F1570">
      <w:pPr>
        <w:pStyle w:val="Heading2"/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2" w:name="_nvum53av8tb7" w:colFirst="0" w:colLast="0"/>
      <w:bookmarkEnd w:id="2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Week  Date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Topic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Reading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1/7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Introduction, Start Stallion Reproductive Physiology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pp. 354-360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1/14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Stallion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Phys., Collection techniques;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pp. 360-374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1/21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Semen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Stallion Management;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Q1 on 1/21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pp. 374-388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1/28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Stallion cont.,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Midterm I Stallion (1/31/19)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2/4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Reprod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Physiology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pp. 315-337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2/11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Estrous Cycle &amp; Artificial Hormone Use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pp. 337-351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2/18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Embryo Transfer;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Q2 on 2/18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pp. 390-412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2/25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Twinning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pp. 412-430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3/4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Midterm II Mare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(3/4/19); </w:t>
      </w:r>
      <w:r>
        <w:rPr>
          <w:rFonts w:ascii="Times New Roman" w:eastAsia="Times New Roman" w:hAnsi="Times New Roman" w:cs="Times New Roman"/>
          <w:sz w:val="24"/>
          <w:szCs w:val="24"/>
        </w:rPr>
        <w:t>Conception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Placentation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Review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10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3/11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Labor, Delivery, Care of the New Foal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pp.430-444</w:t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5F5F" w:rsidRDefault="009F15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3/18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Cumulative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Final Exam – Tuesday, 3/19 at 2:30pm in Classroom</w:t>
      </w:r>
    </w:p>
    <w:p w:rsidR="00D35F5F" w:rsidRDefault="00D35F5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F5F" w:rsidRDefault="00D35F5F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D35F5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66D3B"/>
    <w:multiLevelType w:val="multilevel"/>
    <w:tmpl w:val="921CE4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5F"/>
    <w:rsid w:val="004E4778"/>
    <w:rsid w:val="009F1570"/>
    <w:rsid w:val="00D3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D46F0E-D17F-4B02-90E0-C1E6DA79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.linnbenton.edu/BPsandA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arning.linnbenton.edu/" TargetMode="External"/><Relationship Id="rId5" Type="http://schemas.openxmlformats.org/officeDocument/2006/relationships/hyperlink" Target="http://cf.linnbenton.edu/mathsci/ansci/stroobj/web.cfm?pgID=105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Communtiy College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Strooband</dc:creator>
  <cp:lastModifiedBy>Staff</cp:lastModifiedBy>
  <cp:revision>2</cp:revision>
  <dcterms:created xsi:type="dcterms:W3CDTF">2019-01-04T20:24:00Z</dcterms:created>
  <dcterms:modified xsi:type="dcterms:W3CDTF">2019-01-04T20:24:00Z</dcterms:modified>
</cp:coreProperties>
</file>