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Writing 121:  English Composition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Instructor:  David Bockoven</w:t>
        <w:tab/>
        <w:tab/>
        <w:tab/>
        <w:tab/>
        <w:tab/>
        <w:tab/>
        <w:t xml:space="preserve">Spring 2017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(541) 543-3429 </w:t>
        <w:tab/>
        <w:tab/>
        <w:tab/>
        <w:tab/>
        <w:tab/>
        <w:tab/>
        <w:tab/>
        <w:tab/>
        <w:t xml:space="preserve">CRN 43625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e-mail: david.bockoven@linnbenton.edu</w:t>
        <w:tab/>
        <w:tab/>
        <w:tab/>
        <w:tab/>
        <w:t xml:space="preserve">Tu / Th 10-11:20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Office: IA-218 </w:t>
        <w:tab/>
        <w:tab/>
        <w:tab/>
        <w:tab/>
        <w:tab/>
        <w:tab/>
        <w:tab/>
        <w:tab/>
        <w:t xml:space="preserve">MKH-101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Hours:  Tu/Th 9-9:50 or by appointment </w:t>
        <w:tab/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Essential course information normally included on a syllabus will be included in documents that are part of a “virtual”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Course Packet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accessible through Moodle. 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Tentative Schedule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(Please complete readings and writing assignments before coming to class; unless otherwise noted, page numbers refer to textbook </w:t>
      </w:r>
      <w:r w:rsidDel="00000000" w:rsidR="00000000" w:rsidRPr="00000000">
        <w:rPr>
          <w:i w:val="1"/>
          <w:smallCaps w:val="0"/>
          <w:sz w:val="24"/>
          <w:szCs w:val="24"/>
          <w:rtl w:val="0"/>
        </w:rPr>
        <w:t xml:space="preserve">They Say/I Say with Re</w:t>
      </w:r>
      <w:r w:rsidDel="00000000" w:rsidR="00000000" w:rsidRPr="00000000">
        <w:rPr>
          <w:i w:val="1"/>
          <w:sz w:val="24"/>
          <w:szCs w:val="24"/>
          <w:rtl w:val="0"/>
        </w:rPr>
        <w:t xml:space="preserve">adings</w:t>
      </w:r>
      <w:r w:rsidDel="00000000" w:rsidR="00000000" w:rsidRPr="00000000">
        <w:rPr>
          <w:sz w:val="24"/>
          <w:szCs w:val="24"/>
          <w:rtl w:val="0"/>
        </w:rPr>
        <w:t xml:space="preserve"> 3rd ed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; "Seagull" refers to </w:t>
      </w:r>
      <w:r w:rsidDel="00000000" w:rsidR="00000000" w:rsidRPr="00000000">
        <w:rPr>
          <w:i w:val="1"/>
          <w:smallCaps w:val="0"/>
          <w:sz w:val="24"/>
          <w:szCs w:val="24"/>
          <w:rtl w:val="0"/>
        </w:rPr>
        <w:t xml:space="preserve">The Little Seagull Handbook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3rd ed;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“Moodle” in parentheses means reading is available on class Moodle site—please download on your own, print out, and bring to class; “Packet” means </w:t>
      </w:r>
      <w:r w:rsidDel="00000000" w:rsidR="00000000" w:rsidRPr="00000000">
        <w:rPr>
          <w:sz w:val="24"/>
          <w:szCs w:val="24"/>
          <w:rtl w:val="0"/>
        </w:rPr>
        <w:t xml:space="preserve">digital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smallCaps w:val="0"/>
            <w:color w:val="1155cc"/>
            <w:sz w:val="24"/>
            <w:szCs w:val="24"/>
            <w:u w:val="single"/>
            <w:rtl w:val="0"/>
          </w:rPr>
          <w:t xml:space="preserve">Course Packet</w:t>
        </w:r>
      </w:hyperlink>
      <w:r w:rsidDel="00000000" w:rsidR="00000000" w:rsidRPr="00000000">
        <w:rPr>
          <w:smallCaps w:val="0"/>
          <w:sz w:val="24"/>
          <w:szCs w:val="24"/>
          <w:rtl w:val="0"/>
        </w:rPr>
        <w:t xml:space="preserve">)</w:t>
      </w:r>
    </w:p>
    <w:tbl>
      <w:tblPr>
        <w:tblStyle w:val="Table1"/>
        <w:tblW w:w="1045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"/>
        <w:gridCol w:w="5400"/>
        <w:gridCol w:w="4050"/>
        <w:tblGridChange w:id="0">
          <w:tblGrid>
            <w:gridCol w:w="1008"/>
            <w:gridCol w:w="5400"/>
            <w:gridCol w:w="4050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  <w:u w:val="single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u w:val="single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rPr>
                <w:smallCaps w:val="0"/>
                <w:sz w:val="28"/>
                <w:szCs w:val="28"/>
                <w:u w:val="single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u w:val="single"/>
                <w:rtl w:val="0"/>
              </w:rPr>
              <w:t xml:space="preserve">Reading Assignment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u w:val="single"/>
                <w:rtl w:val="0"/>
              </w:rPr>
              <w:t xml:space="preserve">Writing Assignment</w:t>
            </w: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4/04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0"/>
                <w:sz w:val="28"/>
                <w:szCs w:val="28"/>
                <w:rtl w:val="0"/>
              </w:rPr>
              <w:t xml:space="preserve">Week One:  Introductions 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Are you entitled to your own opinion?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Syllabus; Outcomes; Assumptions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ind w:right="1224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4/06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“Entering the Conversation” 1-15,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173</w:t>
            </w: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-183; Pinker, “What the F***?”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or</w:t>
            </w: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 Boroditsky “Lost in Translation” (Moodle)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ind w:right="162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0"/>
                <w:sz w:val="28"/>
                <w:szCs w:val="28"/>
                <w:rtl w:val="0"/>
              </w:rPr>
              <w:t xml:space="preserve">Week Two:  Literacies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0"/>
              </w:tabs>
              <w:rPr>
                <w:smallCaps w:val="0"/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Reading Notes Description</w:t>
              </w:r>
            </w:hyperlink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 and </w:t>
            </w:r>
            <w:hyperlink r:id="rId9">
              <w:r w:rsidDel="00000000" w:rsidR="00000000" w:rsidRPr="00000000">
                <w:rPr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Example</w:t>
              </w:r>
            </w:hyperlink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 (Packet); Graff, "Hidden Intellectualism" 264-71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; “Academic Writing” 121-128; “Entering Class Discussions” 163-166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ind w:right="1224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4/13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Eckert and McConnell-Ginet, </w:t>
            </w: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“Learning to Be Gendered” 736-45;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Seagull 351-56, 368-69, 376-85</w:t>
            </w: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306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4/18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0"/>
                <w:sz w:val="28"/>
                <w:szCs w:val="28"/>
                <w:rtl w:val="0"/>
              </w:rPr>
              <w:t xml:space="preserve">Week Three:  Technology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“Are We in a Race Against the Machine?” 297-98; Carr “Is Google Making Us Stupid?” 313-28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; “Is Digital Communication Good or Bad---or Both?” 167-71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306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Reading Notes #1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Seagull 2-29, 43-48, 158-169; “Connecting the Parts” 105-118;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Seagull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357-60;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Essay One Topics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and </w:t>
            </w:r>
            <w:hyperlink r:id="rId11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Interest Inventory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(Packet); In-Class Viewing of portion of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Digital Nation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306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4/25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0"/>
                <w:sz w:val="28"/>
                <w:szCs w:val="28"/>
                <w:rtl w:val="0"/>
              </w:rPr>
              <w:t xml:space="preserve">Week Four:  Tech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nology / They Say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Thompson “Smarter than You Think” 340-60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306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pos="1620"/>
                <w:tab w:val="left" w:pos="7740"/>
              </w:tabs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pos="360"/>
              </w:tabs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Reading Assignment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pos="360"/>
                <w:tab w:val="left" w:pos="1620"/>
                <w:tab w:val="left" w:pos="306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Writing Assignment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4/27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pos="360"/>
                <w:tab w:val="left" w:pos="162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"They Say" 19-51; Seagull 95-108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306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0"/>
                <w:sz w:val="28"/>
                <w:szCs w:val="28"/>
                <w:rtl w:val="0"/>
              </w:rPr>
              <w:t xml:space="preserve">Week Five: They Say / I Say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"I Say" 55-101; Cullington “Does Texting Affect Writing?” 361-70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pos="360"/>
                <w:tab w:val="left" w:pos="1620"/>
                <w:tab w:val="left" w:pos="306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Reading Notes #2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5/04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“Using the Templates to Revise” 139-159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pos="360"/>
                <w:tab w:val="left" w:pos="1620"/>
                <w:tab w:val="left" w:pos="306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Essay 1.1 (3-4 pages) Due.  Peer Review in class.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5/09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0"/>
                <w:sz w:val="28"/>
                <w:szCs w:val="28"/>
                <w:rtl w:val="0"/>
              </w:rPr>
              <w:t xml:space="preserve">Week Six:  Americ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an Dream / </w:t>
            </w:r>
            <w:r w:rsidDel="00000000" w:rsidR="00000000" w:rsidRPr="00000000">
              <w:rPr>
                <w:b w:val="1"/>
                <w:smallCaps w:val="0"/>
                <w:sz w:val="28"/>
                <w:szCs w:val="28"/>
                <w:rtl w:val="0"/>
              </w:rPr>
              <w:t xml:space="preserve">College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“What’s Up with American Dream?” 539-4; </w:t>
            </w:r>
            <w:hyperlink r:id="rId12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Declaration of Independence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; Krugman “Confronting Inequality” 561-79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pos="360"/>
                <w:tab w:val="left" w:pos="1620"/>
                <w:tab w:val="left" w:pos="306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Becker and Murphy “Upside of Income Inequality” 581-89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pos="360"/>
                <w:tab w:val="left" w:pos="1620"/>
                <w:tab w:val="left" w:pos="306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Essay 1.2 (3-4 pages) Due.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306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5/16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0"/>
                <w:sz w:val="28"/>
                <w:szCs w:val="28"/>
                <w:rtl w:val="0"/>
              </w:rPr>
              <w:t xml:space="preserve">Week Seven: Am Dream / College</w:t>
            </w:r>
          </w:p>
          <w:p w:rsidR="00000000" w:rsidDel="00000000" w:rsidP="00000000" w:rsidRDefault="00000000" w:rsidRPr="00000000" w14:paraId="00000046">
            <w:pPr>
              <w:tabs>
                <w:tab w:val="left" w:pos="360"/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“Is College the Best Option?” 205-207; Addison “Two Years Are Better than Four” 255-58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306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5/18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pos="360"/>
                <w:tab w:val="left" w:pos="162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Ungar “The New Liberal Arts” 226-32</w:t>
            </w:r>
          </w:p>
          <w:p w:rsidR="00000000" w:rsidDel="00000000" w:rsidP="00000000" w:rsidRDefault="00000000" w:rsidRPr="00000000" w14:paraId="0000004A">
            <w:pPr>
              <w:tabs>
                <w:tab w:val="left" w:pos="360"/>
                <w:tab w:val="left" w:pos="162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306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5/23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0"/>
                <w:sz w:val="28"/>
                <w:szCs w:val="28"/>
                <w:rtl w:val="0"/>
              </w:rPr>
              <w:t xml:space="preserve">Week Eight: Info Literacy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Seagull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90-105</w:t>
            </w: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119-158</w:t>
            </w: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; Library Information Literacy visit?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306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Reading Notes #3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5/25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pos="360"/>
                <w:tab w:val="left" w:pos="162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Rose “Blue-Collar Brilliance” 272-83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306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5/30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0"/>
                <w:sz w:val="28"/>
                <w:szCs w:val="28"/>
                <w:rtl w:val="0"/>
              </w:rPr>
              <w:t xml:space="preserve">Week Nine: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Practice Exam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pos="360"/>
                <w:tab w:val="left" w:pos="162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Wallace “Kenyon Commencement Speech” (Moodle); “Metacommentary” 129-138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306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Final Exam Rangefinder Essays (Moodle)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306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Reading Notes #4; Practice Final Exam (in class).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306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6/06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0"/>
                <w:sz w:val="28"/>
                <w:szCs w:val="28"/>
                <w:rtl w:val="0"/>
              </w:rPr>
              <w:t xml:space="preserve">Week Ten: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Essay Two / Final Exam Prep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Notes on Final Exam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306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Essay 2.1 (4-6 pages) Due.  Peer Review in Class.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Review for Final Exam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306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b w:val="1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0"/>
                <w:sz w:val="28"/>
                <w:szCs w:val="28"/>
                <w:rtl w:val="0"/>
              </w:rPr>
              <w:t xml:space="preserve">Finals Week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Monday 12-12:50. Location TBA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3060"/>
                <w:tab w:val="left" w:pos="774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Essay 2.2 (4-6 pages) Due; Final Exam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6/13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Tuesday 11:30-12:20 (Attend both days.)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1620"/>
                <w:tab w:val="left" w:pos="3060"/>
                <w:tab w:val="left" w:pos="7740"/>
              </w:tabs>
              <w:rPr>
                <w:smallCaps w:val="0"/>
                <w:sz w:val="28"/>
                <w:szCs w:val="28"/>
              </w:rPr>
            </w:pPr>
            <w:r w:rsidDel="00000000" w:rsidR="00000000" w:rsidRPr="00000000">
              <w:rPr>
                <w:smallCaps w:val="0"/>
                <w:sz w:val="28"/>
                <w:szCs w:val="28"/>
                <w:rtl w:val="0"/>
              </w:rPr>
              <w:t xml:space="preserve">Final Exam</w:t>
            </w:r>
          </w:p>
        </w:tc>
      </w:tr>
    </w:tbl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Turn in all final revisions as an e-mail attachment by 5 p.m., </w:t>
      </w:r>
      <w:r w:rsidDel="00000000" w:rsidR="00000000" w:rsidRPr="00000000">
        <w:rPr>
          <w:sz w:val="28"/>
          <w:szCs w:val="28"/>
          <w:rtl w:val="0"/>
        </w:rPr>
        <w:t xml:space="preserve">June 14th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(Wednesday).  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Course documents are available on Moodle Website WR121_DB_1</w:t>
      </w:r>
    </w:p>
    <w:sectPr>
      <w:footerReference r:id="rId13" w:type="default"/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360"/>
        <w:tab w:val="left" w:pos="1620"/>
        <w:tab w:val="left" w:pos="7740"/>
      </w:tabs>
    </w:pPr>
    <w:rPr>
      <w:b w:val="1"/>
      <w:smallCaps w:val="0"/>
      <w:sz w:val="22"/>
      <w:szCs w:val="22"/>
    </w:rPr>
  </w:style>
  <w:style w:type="paragraph" w:styleId="Heading2">
    <w:name w:val="heading 2"/>
    <w:basedOn w:val="Normal"/>
    <w:next w:val="Normal"/>
    <w:pPr>
      <w:keepNext w:val="1"/>
    </w:pPr>
    <w:rPr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1NcJNuJTwCeh9nHOheOapD63VQbVBUIRSC8tE0BE5yg/edit?usp=sharing" TargetMode="External"/><Relationship Id="rId10" Type="http://schemas.openxmlformats.org/officeDocument/2006/relationships/hyperlink" Target="https://docs.google.com/document/d/11ynDUn-Zn4L6QeUqw_v0Fr-zjfgTF5cbO7eKF-C52VI/edit?usp=sharing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www.archives.gov/founding-docs/declaration-transcrip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mryFyJ4eXuVuVZkEgStM41Gg2idi6IfQLwk7GCgczeY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Au65Wd97jSMrjrKYTPfRmdCYuzMKd_zs8zy_B1K-XXU" TargetMode="External"/><Relationship Id="rId7" Type="http://schemas.openxmlformats.org/officeDocument/2006/relationships/hyperlink" Target="https://drive.google.com/open?id=1Au65Wd97jSMrjrKYTPfRmdCYuzMKd_zs8zy_B1K-XXU" TargetMode="External"/><Relationship Id="rId8" Type="http://schemas.openxmlformats.org/officeDocument/2006/relationships/hyperlink" Target="https://docs.google.com/a/linnbenton.edu/document/d/1Iyki53Fz1mN0jTqowNN7TFB1RaJNQt2xZeC9WayA9dg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