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BA 2</w:t>
      </w: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rPr>
          <w:rFonts w:ascii="Times New Roman" w:cs="Times New Roman" w:eastAsia="Times New Roman" w:hAnsi="Times New Roman"/>
          <w:b w:val="1"/>
          <w:color w:val="000000"/>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Human Resource Management</w:t>
      </w:r>
      <w:r w:rsidDel="00000000" w:rsidR="00000000" w:rsidRPr="00000000">
        <w:rPr>
          <w:rtl w:val="0"/>
        </w:rPr>
      </w:r>
    </w:p>
    <w:p w:rsidR="00000000" w:rsidDel="00000000" w:rsidP="00000000" w:rsidRDefault="00000000" w:rsidRPr="00000000" w14:paraId="00000002">
      <w:pPr>
        <w:spacing w:after="0" w:line="240" w:lineRule="auto"/>
        <w:ind w:left="3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ONLINE CLASS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240" w:lineRule="auto"/>
        <w:ind w:left="3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Starts </w:t>
      </w:r>
      <w:r w:rsidDel="00000000" w:rsidR="00000000" w:rsidRPr="00000000">
        <w:rPr>
          <w:rFonts w:ascii="Times New Roman" w:cs="Times New Roman" w:eastAsia="Times New Roman" w:hAnsi="Times New Roman"/>
          <w:b w:val="1"/>
          <w:sz w:val="24"/>
          <w:szCs w:val="24"/>
          <w:rtl w:val="0"/>
        </w:rPr>
        <w:t xml:space="preserve">28</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SEP-2020</w:t>
      </w:r>
      <w:r w:rsidDel="00000000" w:rsidR="00000000" w:rsidRPr="00000000">
        <w:rPr>
          <w:rtl w:val="0"/>
        </w:rPr>
      </w:r>
    </w:p>
    <w:p w:rsidR="00000000" w:rsidDel="00000000" w:rsidP="00000000" w:rsidRDefault="00000000" w:rsidRPr="00000000" w14:paraId="00000004">
      <w:pPr>
        <w:spacing w:after="0" w:line="240" w:lineRule="auto"/>
        <w:ind w:left="3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Fall</w:t>
      </w:r>
      <w:r w:rsidDel="00000000" w:rsidR="00000000" w:rsidRPr="00000000">
        <w:rPr>
          <w:rFonts w:ascii="Times New Roman" w:cs="Times New Roman" w:eastAsia="Times New Roman" w:hAnsi="Times New Roman"/>
          <w:b w:val="1"/>
          <w:color w:val="000000"/>
          <w:sz w:val="24"/>
          <w:szCs w:val="24"/>
          <w:rtl w:val="0"/>
        </w:rPr>
        <w:t xml:space="preserve"> Quarter 20</w:t>
      </w: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05">
      <w:pPr>
        <w:spacing w:after="0" w:line="240" w:lineRule="auto"/>
        <w:ind w:left="36"/>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Instructor: </w:t>
      </w:r>
      <w:r w:rsidDel="00000000" w:rsidR="00000000" w:rsidRPr="00000000">
        <w:rPr>
          <w:rFonts w:ascii="Times New Roman" w:cs="Times New Roman" w:eastAsia="Times New Roman" w:hAnsi="Times New Roman"/>
          <w:b w:val="1"/>
          <w:sz w:val="23"/>
          <w:szCs w:val="23"/>
          <w:rtl w:val="0"/>
        </w:rPr>
        <w:t xml:space="preserve">Joshua Coulter</w:t>
      </w:r>
      <w:r w:rsidDel="00000000" w:rsidR="00000000" w:rsidRPr="00000000">
        <w:rPr>
          <w:rtl w:val="0"/>
        </w:rPr>
      </w:r>
    </w:p>
    <w:tbl>
      <w:tblPr>
        <w:tblStyle w:val="Table1"/>
        <w:tblW w:w="1182.0" w:type="dxa"/>
        <w:jc w:val="left"/>
        <w:tblInd w:w="0.0" w:type="dxa"/>
        <w:tblLayout w:type="fixed"/>
        <w:tblLook w:val="0400"/>
      </w:tblPr>
      <w:tblGrid>
        <w:gridCol w:w="1182"/>
        <w:tblGridChange w:id="0">
          <w:tblGrid>
            <w:gridCol w:w="1182"/>
          </w:tblGrid>
        </w:tblGridChange>
      </w:tblGrid>
      <w:tr>
        <w:tc>
          <w:tcPr>
            <w:tcMar>
              <w:top w:w="14.0" w:type="dxa"/>
              <w:left w:w="14.0" w:type="dxa"/>
              <w:bottom w:w="14.0" w:type="dxa"/>
              <w:right w:w="14.0" w:type="dxa"/>
            </w:tcMar>
          </w:tcPr>
          <w:p w:rsidR="00000000" w:rsidDel="00000000" w:rsidP="00000000" w:rsidRDefault="00000000" w:rsidRPr="00000000" w14:paraId="00000007">
            <w:pPr>
              <w:spacing w:after="0" w:lineRule="auto"/>
              <w:ind w:firstLine="2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CRN </w:t>
            </w:r>
            <w:r w:rsidDel="00000000" w:rsidR="00000000" w:rsidRPr="00000000">
              <w:rPr>
                <w:rFonts w:ascii="Arial" w:cs="Arial" w:eastAsia="Arial" w:hAnsi="Arial"/>
                <w:b w:val="1"/>
                <w:i w:val="1"/>
                <w:sz w:val="18"/>
                <w:szCs w:val="18"/>
                <w:highlight w:val="white"/>
                <w:rtl w:val="0"/>
              </w:rPr>
              <w:t xml:space="preserve">20384</w:t>
            </w:r>
            <w:r w:rsidDel="00000000" w:rsidR="00000000" w:rsidRPr="00000000">
              <w:rPr>
                <w:rtl w:val="0"/>
              </w:rPr>
            </w:r>
          </w:p>
        </w:tc>
      </w:tr>
    </w:tbl>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Office: (Albany) MKH 208  </w:t>
        <w:tab/>
        <w:tab/>
        <w:tab/>
        <w:tab/>
        <w:tab/>
        <w:tab/>
        <w:tab/>
        <w:tab/>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e-mail:  </w:t>
      </w:r>
      <w:hyperlink r:id="rId6">
        <w:r w:rsidDel="00000000" w:rsidR="00000000" w:rsidRPr="00000000">
          <w:rPr>
            <w:rFonts w:ascii="Times New Roman" w:cs="Times New Roman" w:eastAsia="Times New Roman" w:hAnsi="Times New Roman"/>
            <w:color w:val="1155cc"/>
            <w:u w:val="single"/>
            <w:rtl w:val="0"/>
          </w:rPr>
          <w:t xml:space="preserve">Coultej@linnbenton.edu</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color w:val="000000"/>
          <w:rtl w:val="0"/>
        </w:rPr>
        <w:t xml:space="preserve">Office Hours:</w:t>
      </w:r>
      <w:r w:rsidDel="00000000" w:rsidR="00000000" w:rsidRPr="00000000">
        <w:rPr>
          <w:rFonts w:ascii="Times New Roman" w:cs="Times New Roman" w:eastAsia="Times New Roman" w:hAnsi="Times New Roman"/>
          <w:rtl w:val="0"/>
        </w:rPr>
        <w:t xml:space="preserve"> Thursday’s 4-5 pm on zoom or by appointment. Here is the link to the zoom room. </w:t>
      </w:r>
      <w:hyperlink r:id="rId7">
        <w:r w:rsidDel="00000000" w:rsidR="00000000" w:rsidRPr="00000000">
          <w:rPr>
            <w:rFonts w:ascii="Arial" w:cs="Arial" w:eastAsia="Arial" w:hAnsi="Arial"/>
            <w:color w:val="0e71eb"/>
            <w:sz w:val="21"/>
            <w:szCs w:val="21"/>
            <w:highlight w:val="white"/>
            <w:rtl w:val="0"/>
          </w:rPr>
          <w:t xml:space="preserve">https://linnbenton.zoom.us/j/91556140002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Required Resources:</w:t>
      </w:r>
      <w:r w:rsidDel="00000000" w:rsidR="00000000" w:rsidRPr="00000000">
        <w:rPr>
          <w:rtl w:val="0"/>
        </w:rPr>
      </w:r>
    </w:p>
    <w:p w:rsidR="00000000" w:rsidDel="00000000" w:rsidP="00000000" w:rsidRDefault="00000000" w:rsidRPr="00000000" w14:paraId="0000000D">
      <w:pPr>
        <w:shd w:fill="ffffff" w:val="clea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highlight w:val="white"/>
          <w:rtl w:val="0"/>
        </w:rPr>
        <w:t xml:space="preserve">Human Resource Management,</w:t>
      </w:r>
      <w:r w:rsidDel="00000000" w:rsidR="00000000" w:rsidRPr="00000000">
        <w:rPr>
          <w:rFonts w:ascii="Times New Roman" w:cs="Times New Roman" w:eastAsia="Times New Roman" w:hAnsi="Times New Roman"/>
          <w:color w:val="222222"/>
          <w:sz w:val="24"/>
          <w:szCs w:val="24"/>
          <w:highlight w:val="white"/>
          <w:rtl w:val="0"/>
        </w:rPr>
        <w:t xml:space="preserve"> 14</w:t>
      </w:r>
      <w:r w:rsidDel="00000000" w:rsidR="00000000" w:rsidRPr="00000000">
        <w:rPr>
          <w:rFonts w:ascii="Times New Roman" w:cs="Times New Roman" w:eastAsia="Times New Roman" w:hAnsi="Times New Roman"/>
          <w:color w:val="222222"/>
          <w:sz w:val="32"/>
          <w:szCs w:val="32"/>
          <w:highlight w:val="white"/>
          <w:vertAlign w:val="superscript"/>
          <w:rtl w:val="0"/>
        </w:rPr>
        <w:t xml:space="preserve">th</w:t>
      </w:r>
      <w:r w:rsidDel="00000000" w:rsidR="00000000" w:rsidRPr="00000000">
        <w:rPr>
          <w:rFonts w:ascii="Times New Roman" w:cs="Times New Roman" w:eastAsia="Times New Roman" w:hAnsi="Times New Roman"/>
          <w:color w:val="222222"/>
          <w:sz w:val="24"/>
          <w:szCs w:val="24"/>
          <w:highlight w:val="white"/>
          <w:rtl w:val="0"/>
        </w:rPr>
        <w:t xml:space="preserve"> edition, by R. Wayne Mondy</w:t>
      </w:r>
      <w:r w:rsidDel="00000000" w:rsidR="00000000" w:rsidRPr="00000000">
        <w:rPr>
          <w:rFonts w:ascii="Arial" w:cs="Arial" w:eastAsia="Arial" w:hAnsi="Arial"/>
          <w:color w:val="222222"/>
          <w:rtl w:val="0"/>
        </w:rPr>
        <w:br w:type="textWrapping"/>
        <w:t xml:space="preserve">Access to MyLab Management comes with the course. You can access Mylab through Moodle.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Description: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br w:type="textWrapping"/>
        <w:tab/>
        <w:t xml:space="preserve">Human resource management topics include staffing, human resource development, compensation, health and safety, employee and labor relations, and human resource research.</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r w:rsidDel="00000000" w:rsidR="00000000" w:rsidRPr="00000000">
        <w:rPr>
          <w:rtl w:val="0"/>
        </w:rPr>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insight into the evolving role of strategic HRM in today’s organizations, the strategic role of HR functions, and the impact of technology and global competition. </w:t>
      </w:r>
    </w:p>
    <w:p w:rsidR="00000000" w:rsidDel="00000000" w:rsidP="00000000" w:rsidRDefault="00000000" w:rsidRPr="00000000" w14:paraId="00000012">
      <w:pPr>
        <w:numPr>
          <w:ilvl w:val="0"/>
          <w:numId w:val="5"/>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awareness of the importance of business ethics and corporate social responsibility in HRM. </w:t>
      </w:r>
    </w:p>
    <w:p w:rsidR="00000000" w:rsidDel="00000000" w:rsidP="00000000" w:rsidRDefault="00000000" w:rsidRPr="00000000" w14:paraId="00000013">
      <w:pPr>
        <w:numPr>
          <w:ilvl w:val="0"/>
          <w:numId w:val="14"/>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insight into how workforce diversity provides an opportunity for management. </w:t>
      </w:r>
    </w:p>
    <w:p w:rsidR="00000000" w:rsidDel="00000000" w:rsidP="00000000" w:rsidRDefault="00000000" w:rsidRPr="00000000" w14:paraId="00000014">
      <w:pPr>
        <w:numPr>
          <w:ilvl w:val="0"/>
          <w:numId w:val="12"/>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Examine the legislation and regulations affecting staffing. </w:t>
      </w:r>
    </w:p>
    <w:p w:rsidR="00000000" w:rsidDel="00000000" w:rsidP="00000000" w:rsidRDefault="00000000" w:rsidRPr="00000000" w14:paraId="00000015">
      <w:pPr>
        <w:numPr>
          <w:ilvl w:val="0"/>
          <w:numId w:val="11"/>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Know the significant federal court decisions affecting staffing. </w:t>
      </w:r>
    </w:p>
    <w:p w:rsidR="00000000" w:rsidDel="00000000" w:rsidP="00000000" w:rsidRDefault="00000000" w:rsidRPr="00000000" w14:paraId="00000016">
      <w:pPr>
        <w:numPr>
          <w:ilvl w:val="0"/>
          <w:numId w:val="10"/>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Understand the Uniform Guidelines, Adverse Impact, and Affirmative Action Programs that affect staffing. </w:t>
      </w:r>
    </w:p>
    <w:p w:rsidR="00000000" w:rsidDel="00000000" w:rsidP="00000000" w:rsidRDefault="00000000" w:rsidRPr="00000000" w14:paraId="00000017">
      <w:pPr>
        <w:numPr>
          <w:ilvl w:val="0"/>
          <w:numId w:val="4"/>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Understand the ethical, regulatory, environmental, social, political, and technological issues of staffing. </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understanding of job analysis, strategic planning, human resource planning, recruitment (including Internet recruiting), and selection. </w:t>
      </w:r>
    </w:p>
    <w:p w:rsidR="00000000" w:rsidDel="00000000" w:rsidP="00000000" w:rsidRDefault="00000000" w:rsidRPr="00000000" w14:paraId="00000019">
      <w:pPr>
        <w:numPr>
          <w:ilvl w:val="0"/>
          <w:numId w:val="7"/>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awareness of the importance of training and developing for employees at all levels. </w:t>
      </w:r>
    </w:p>
    <w:p w:rsidR="00000000" w:rsidDel="00000000" w:rsidP="00000000" w:rsidRDefault="00000000" w:rsidRPr="00000000" w14:paraId="0000001A">
      <w:pPr>
        <w:numPr>
          <w:ilvl w:val="0"/>
          <w:numId w:val="13"/>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understanding of performance appraisal and its role in performance management. </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appreciation of how compensation and benefits programs are formulated and administered. </w:t>
      </w:r>
    </w:p>
    <w:p w:rsidR="00000000" w:rsidDel="00000000" w:rsidP="00000000" w:rsidRDefault="00000000" w:rsidRPr="00000000" w14:paraId="0000001C">
      <w:pPr>
        <w:numPr>
          <w:ilvl w:val="0"/>
          <w:numId w:val="9"/>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understanding of safety and health factors as they affect the firm’s profitability. </w:t>
      </w:r>
    </w:p>
    <w:p w:rsidR="00000000" w:rsidDel="00000000" w:rsidP="00000000" w:rsidRDefault="00000000" w:rsidRPr="00000000" w14:paraId="0000001D">
      <w:pPr>
        <w:numPr>
          <w:ilvl w:val="0"/>
          <w:numId w:val="8"/>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opportunity to understand employee and labor relations. </w:t>
      </w:r>
    </w:p>
    <w:p w:rsidR="00000000" w:rsidDel="00000000" w:rsidP="00000000" w:rsidRDefault="00000000" w:rsidRPr="00000000" w14:paraId="0000001E">
      <w:pPr>
        <w:numPr>
          <w:ilvl w:val="0"/>
          <w:numId w:val="6"/>
        </w:numPr>
        <w:pBdr>
          <w:top w:color="auto" w:space="0" w:sz="0" w:val="none"/>
          <w:bottom w:color="auto" w:space="0" w:sz="0" w:val="none"/>
          <w:right w:color="auto" w:space="0" w:sz="0" w:val="none"/>
          <w:between w:color="auto" w:space="0" w:sz="0" w:val="none"/>
        </w:pBdr>
        <w:spacing w:after="0" w:line="240" w:lineRule="auto"/>
        <w:ind w:left="720" w:hanging="360"/>
      </w:pPr>
      <w:r w:rsidDel="00000000" w:rsidR="00000000" w:rsidRPr="00000000">
        <w:rPr>
          <w:rFonts w:ascii="Times New Roman" w:cs="Times New Roman" w:eastAsia="Times New Roman" w:hAnsi="Times New Roman"/>
          <w:sz w:val="24"/>
          <w:szCs w:val="24"/>
          <w:rtl w:val="0"/>
        </w:rPr>
        <w:t xml:space="preserve">An appreciation of the global dimension of HRM. </w:t>
      </w:r>
    </w:p>
    <w:p w:rsidR="00000000" w:rsidDel="00000000" w:rsidP="00000000" w:rsidRDefault="00000000" w:rsidRPr="00000000" w14:paraId="0000001F">
      <w:pPr>
        <w:spacing w:after="0"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Grading:</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 course grades will be determined as follows:</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67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855"/>
        <w:gridCol w:w="1020"/>
        <w:tblGridChange w:id="0">
          <w:tblGrid>
            <w:gridCol w:w="4905"/>
            <w:gridCol w:w="855"/>
            <w:gridCol w:w="1020"/>
          </w:tblGrid>
        </w:tblGridChange>
      </w:tblGrid>
      <w:t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Points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Percent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Assignments</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Quizzes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trHeight w:val="5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color w:val="000000"/>
          <w:sz w:val="24"/>
          <w:szCs w:val="24"/>
          <w:rtl w:val="0"/>
        </w:rPr>
        <w:t xml:space="preserve">Course grades will be computed as follows from total points possible:</w:t>
      </w:r>
      <w:r w:rsidDel="00000000" w:rsidR="00000000" w:rsidRPr="00000000">
        <w:rPr>
          <w:rtl w:val="0"/>
        </w:rPr>
      </w:r>
    </w:p>
    <w:p w:rsidR="00000000" w:rsidDel="00000000" w:rsidP="00000000" w:rsidRDefault="00000000" w:rsidRPr="00000000" w14:paraId="0000003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 (90 &lt; 100%),</w:t>
        <w:tab/>
        <w:t xml:space="preserve">B (80 &lt; 90%), C (70 &lt; 80%), D (60 &lt; 70%), or  F (&lt; 60%)</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Chapter Assignments</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There are chapter assignments assigned in MyLab Management that become available Monday at 1 am and are due by the next Sunday at 11:59 PM. Each assignment is worth 10 points each. </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Quizzes</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Instead of a Midterm, there is a quiz for each chapter that is worth 10 points each.</w:t>
        <w:br w:type="textWrapping"/>
        <w:br w:type="textWrapping"/>
      </w:r>
      <w:r w:rsidDel="00000000" w:rsidR="00000000" w:rsidRPr="00000000">
        <w:rPr>
          <w:rFonts w:ascii="Times New Roman" w:cs="Times New Roman" w:eastAsia="Times New Roman" w:hAnsi="Times New Roman"/>
          <w:b w:val="1"/>
          <w:rtl w:val="0"/>
        </w:rPr>
        <w:t xml:space="preserve">Final:</w:t>
      </w:r>
      <w:r w:rsidDel="00000000" w:rsidR="00000000" w:rsidRPr="00000000">
        <w:rPr>
          <w:rFonts w:ascii="Times New Roman" w:cs="Times New Roman" w:eastAsia="Times New Roman" w:hAnsi="Times New Roman"/>
          <w:rtl w:val="0"/>
        </w:rPr>
        <w:br w:type="textWrapping"/>
        <w:t xml:space="preserve">There will be a cumulative final worth 100 points. </w:t>
        <w:br w:type="textWrapping"/>
        <w:br w:type="textWrapping"/>
      </w:r>
      <w:r w:rsidDel="00000000" w:rsidR="00000000" w:rsidRPr="00000000">
        <w:rPr>
          <w:rFonts w:ascii="Times New Roman" w:cs="Times New Roman" w:eastAsia="Times New Roman" w:hAnsi="Times New Roman"/>
          <w:b w:val="1"/>
          <w:rtl w:val="0"/>
        </w:rPr>
        <w:t xml:space="preserve">Discussion Board: </w:t>
        <w:br w:type="textWrapping"/>
      </w:r>
      <w:r w:rsidDel="00000000" w:rsidR="00000000" w:rsidRPr="00000000">
        <w:rPr>
          <w:rFonts w:ascii="Times New Roman" w:cs="Times New Roman" w:eastAsia="Times New Roman" w:hAnsi="Times New Roman"/>
          <w:rtl w:val="0"/>
        </w:rPr>
        <w:t xml:space="preserve">To earn points for the discussion board Students must make 2 posts. One post with your own thoughts responding to the discussion question. The second post is to respond to at least one other student’s post. There will be no partial points awarded. Discussion Questions will be posted by Monday morning and responses are due by 11:59 the following Sunday. Some of the discussion board topics will be based on  activities in MyLab.</w:t>
        <w:br w:type="textWrapping"/>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LBCC COMPREHENSIVE STATEMENT OF NONDISCRIMINATION:</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LBCC prohibits unlawful discrimination based on race, color, religion, ethnicity, and use of native language, national origin, sex, sexual orientation, marital status, disability, veteran status, age, or any other status protected under applicable federal, state, or local laws.   (For further information:  http://po.linnbenton.edu/BPsandAPs/)</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CENTER FOR ACCESSIBILITY RESOURCES: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hd w:fill="f8f8f8" w:val="clea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r w:rsidDel="00000000" w:rsidR="00000000" w:rsidRPr="00000000">
          <w:rPr>
            <w:rFonts w:ascii="Times New Roman" w:cs="Times New Roman" w:eastAsia="Times New Roman" w:hAnsi="Times New Roman"/>
            <w:b w:val="1"/>
            <w:color w:val="0b4da2"/>
            <w:u w:val="single"/>
            <w:shd w:fill="f8f8f8" w:val="clear"/>
            <w:rtl w:val="0"/>
          </w:rPr>
          <w:t xml:space="preserve">CFAR Website</w:t>
        </w:r>
      </w:hyperlink>
      <w:r w:rsidDel="00000000" w:rsidR="00000000" w:rsidRPr="00000000">
        <w:rPr>
          <w:rFonts w:ascii="Times New Roman" w:cs="Times New Roman" w:eastAsia="Times New Roman" w:hAnsi="Times New Roman"/>
          <w:color w:val="333333"/>
          <w:shd w:fill="f8f8f8" w:val="clear"/>
          <w:rtl w:val="0"/>
        </w:rPr>
        <w:t xml:space="preserve"> for steps on how to apply for services or call </w:t>
      </w:r>
      <w:r w:rsidDel="00000000" w:rsidR="00000000" w:rsidRPr="00000000">
        <w:rPr>
          <w:rFonts w:ascii="Times New Roman" w:cs="Times New Roman" w:eastAsia="Times New Roman" w:hAnsi="Times New Roman"/>
          <w:color w:val="0b4da2"/>
          <w:shd w:fill="f8f8f8" w:val="clear"/>
          <w:rtl w:val="0"/>
        </w:rPr>
        <w:t xml:space="preserve">(541) 917-4789</w:t>
      </w:r>
      <w:r w:rsidDel="00000000" w:rsidR="00000000" w:rsidRPr="00000000">
        <w:rPr>
          <w:rFonts w:ascii="Times New Roman" w:cs="Times New Roman" w:eastAsia="Times New Roman" w:hAnsi="Times New Roman"/>
          <w:color w:val="333333"/>
          <w:shd w:fill="f8f8f8" w:val="clear"/>
          <w:rtl w:val="0"/>
        </w:rPr>
        <w:t xml:space="preserve">.</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ACADEMIC INTEGRITY:</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SYLLABUS/OUTLINE:</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rtl w:val="0"/>
        </w:rPr>
        <w:t xml:space="preserve">This syllabus and outline are a guide, not a contract. They will change during the term</w:t>
      </w:r>
      <w:r w:rsidDel="00000000" w:rsidR="00000000" w:rsidRPr="00000000">
        <w:rPr>
          <w:rFonts w:ascii="Times New Roman" w:cs="Times New Roman" w:eastAsia="Times New Roman" w:hAnsi="Times New Roman"/>
          <w:color w:val="000000"/>
          <w:rtl w:val="0"/>
        </w:rPr>
        <w:t xml:space="preserve"> as I attempt to provide the most compelling and useful learning experience possible. If things do not make sense, please talk with me. As changes are made, I will announce them </w:t>
      </w:r>
      <w:r w:rsidDel="00000000" w:rsidR="00000000" w:rsidRPr="00000000">
        <w:rPr>
          <w:rFonts w:ascii="Times New Roman" w:cs="Times New Roman" w:eastAsia="Times New Roman" w:hAnsi="Times New Roman"/>
          <w:rtl w:val="0"/>
        </w:rPr>
        <w:t xml:space="preserve">on moodle</w:t>
      </w:r>
      <w:r w:rsidDel="00000000" w:rsidR="00000000" w:rsidRPr="00000000">
        <w:rPr>
          <w:rFonts w:ascii="Times New Roman" w:cs="Times New Roman" w:eastAsia="Times New Roman" w:hAnsi="Times New Roman"/>
          <w:color w:val="000000"/>
          <w:rtl w:val="0"/>
        </w:rPr>
        <w:t xml:space="preserve">. You should check the syllabus at least once a week for course updates.  Not reading the syllabus does not constitute a valid excuse for missing </w:t>
      </w:r>
      <w:r w:rsidDel="00000000" w:rsidR="00000000" w:rsidRPr="00000000">
        <w:rPr>
          <w:rFonts w:ascii="Times New Roman" w:cs="Times New Roman" w:eastAsia="Times New Roman" w:hAnsi="Times New Roman"/>
          <w:rtl w:val="0"/>
        </w:rPr>
        <w:t xml:space="preserve">an assignment</w:t>
      </w:r>
      <w:r w:rsidDel="00000000" w:rsidR="00000000" w:rsidRPr="00000000">
        <w:rPr>
          <w:rFonts w:ascii="Times New Roman" w:cs="Times New Roman" w:eastAsia="Times New Roman" w:hAnsi="Times New Roman"/>
          <w:color w:val="000000"/>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32"/>
          <w:szCs w:val="32"/>
          <w:rtl w:val="0"/>
        </w:rPr>
        <w:t xml:space="preserve">BA 224                       TENTATIVE OUTLINE </w:t>
        <w:tab/>
        <w:t xml:space="preserve">            Fall 2020</w:t>
      </w:r>
      <w:r w:rsidDel="00000000" w:rsidR="00000000" w:rsidRPr="00000000">
        <w:rPr>
          <w:rtl w:val="0"/>
        </w:rPr>
      </w:r>
    </w:p>
    <w:tbl>
      <w:tblPr>
        <w:tblStyle w:val="Table3"/>
        <w:tblW w:w="9165.0" w:type="dxa"/>
        <w:jc w:val="left"/>
        <w:tblInd w:w="0.0" w:type="dxa"/>
        <w:tblLayout w:type="fixed"/>
        <w:tblLook w:val="0400"/>
      </w:tblPr>
      <w:tblGrid>
        <w:gridCol w:w="1320"/>
        <w:gridCol w:w="3150"/>
        <w:gridCol w:w="1605"/>
        <w:gridCol w:w="3090"/>
        <w:tblGridChange w:id="0">
          <w:tblGrid>
            <w:gridCol w:w="1320"/>
            <w:gridCol w:w="3150"/>
            <w:gridCol w:w="1605"/>
            <w:gridCol w:w="3090"/>
          </w:tblGrid>
        </w:tblGridChange>
      </w:tblGrid>
      <w:tr>
        <w:trPr>
          <w:trHeight w:val="58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TOPIC &amp; READING</w:t>
            </w:r>
            <w:r w:rsidDel="00000000" w:rsidR="00000000" w:rsidRPr="00000000">
              <w:rPr>
                <w:rtl w:val="0"/>
              </w:rPr>
            </w:r>
          </w:p>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Reading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Due Dates</w:t>
            </w:r>
            <w:r w:rsidDel="00000000" w:rsidR="00000000" w:rsidRPr="00000000">
              <w:rPr>
                <w:rtl w:val="0"/>
              </w:rPr>
            </w:r>
          </w:p>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See </w:t>
            </w:r>
            <w:r w:rsidDel="00000000" w:rsidR="00000000" w:rsidRPr="00000000">
              <w:rPr>
                <w:rFonts w:ascii="Times New Roman" w:cs="Times New Roman" w:eastAsia="Times New Roman" w:hAnsi="Times New Roman"/>
                <w:b w:val="1"/>
                <w:sz w:val="24"/>
                <w:szCs w:val="24"/>
                <w:rtl w:val="0"/>
              </w:rPr>
              <w:t xml:space="preserve">MyLab </w:t>
            </w:r>
            <w:r w:rsidDel="00000000" w:rsidR="00000000" w:rsidRPr="00000000">
              <w:rPr>
                <w:rFonts w:ascii="Times New Roman" w:cs="Times New Roman" w:eastAsia="Times New Roman" w:hAnsi="Times New Roman"/>
                <w:b w:val="1"/>
                <w:color w:val="000000"/>
                <w:sz w:val="24"/>
                <w:szCs w:val="24"/>
                <w:rtl w:val="0"/>
              </w:rPr>
              <w:t xml:space="preserve">for Details of Assignments</w:t>
            </w:r>
            <w:r w:rsidDel="00000000" w:rsidR="00000000" w:rsidRPr="00000000">
              <w:rPr>
                <w:rtl w:val="0"/>
              </w:rPr>
            </w:r>
          </w:p>
        </w:tc>
      </w:tr>
      <w:tr>
        <w:trPr>
          <w:trHeight w:val="74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Human Resource Management:  An Overview </w:t>
              <w:br w:type="textWrapping"/>
              <w:br w:type="textWrapping"/>
              <w:t xml:space="preserve">Business Ethics and Corporate Social Responsibility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Chapter </w:t>
            </w: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053">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1</w:t>
              <w:br w:type="textWrapping"/>
              <w:br w:type="textWrapping"/>
              <w:t xml:space="preserve">Quiz:  Ch 1 </w:t>
              <w:br w:type="textWrapping"/>
              <w:br w:type="textWrapping"/>
              <w:t xml:space="preserve">Assignments: Ch  2 HR bloopers </w:t>
            </w:r>
            <w:r w:rsidDel="00000000" w:rsidR="00000000" w:rsidRPr="00000000">
              <w:rPr>
                <w:rFonts w:ascii="Times New Roman" w:cs="Times New Roman" w:eastAsia="Times New Roman" w:hAnsi="Times New Roman"/>
                <w:color w:val="252525"/>
                <w:sz w:val="21"/>
                <w:szCs w:val="21"/>
                <w:highlight w:val="white"/>
                <w:rtl w:val="0"/>
              </w:rPr>
              <w:t xml:space="preserve">Multiple Choice Questions</w:t>
            </w:r>
            <w:r w:rsidDel="00000000" w:rsidR="00000000" w:rsidRPr="00000000">
              <w:rPr>
                <w:rtl w:val="0"/>
              </w:rPr>
            </w:r>
          </w:p>
        </w:tc>
      </w:tr>
      <w:tr>
        <w:trPr>
          <w:trHeight w:val="240"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8">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Equal Employment Opportunity, Affirmative Action, and Workforce Diversity </w:t>
              <w:br w:type="textWrapping"/>
              <w:br w:type="textWrapping"/>
              <w:t xml:space="preserve">Strategic Planning, Human Resource Planning, and Job Analysis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B">
            <w:pPr>
              <w:spacing w:after="0" w:lineRule="auto"/>
              <w:jc w:val="center"/>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4"/>
                <w:szCs w:val="24"/>
                <w:rtl w:val="0"/>
              </w:rPr>
              <w:t xml:space="preserve">Chapter 3,4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2</w:t>
              <w:br w:type="textWrapping"/>
              <w:br w:type="textWrapping"/>
              <w:t xml:space="preserve">Quiz:  Ch  3 </w:t>
              <w:br w:type="textWrapping"/>
              <w:br w:type="textWrapping"/>
              <w:t xml:space="preserve">Assignments: Ch  4 HR bloopers </w:t>
            </w:r>
            <w:r w:rsidDel="00000000" w:rsidR="00000000" w:rsidRPr="00000000">
              <w:rPr>
                <w:rFonts w:ascii="Times New Roman" w:cs="Times New Roman" w:eastAsia="Times New Roman" w:hAnsi="Times New Roman"/>
                <w:color w:val="252525"/>
                <w:sz w:val="21"/>
                <w:szCs w:val="21"/>
                <w:highlight w:val="white"/>
                <w:rtl w:val="0"/>
              </w:rPr>
              <w:t xml:space="preserve">Multiple Choice Questions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0">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Recruitment</w:t>
              <w:br w:type="textWrapping"/>
              <w:br w:type="textWrapping"/>
              <w:t xml:space="preserve">Selection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5, 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3</w:t>
              <w:br w:type="textWrapping"/>
              <w:br w:type="textWrapping"/>
              <w:t xml:space="preserve">Quiz: Ch  6</w:t>
              <w:br w:type="textWrapping"/>
              <w:br w:type="textWrapping"/>
              <w:t xml:space="preserve">Assignments: Ch 5  HR bloopers </w:t>
            </w:r>
            <w:r w:rsidDel="00000000" w:rsidR="00000000" w:rsidRPr="00000000">
              <w:rPr>
                <w:rFonts w:ascii="Times New Roman" w:cs="Times New Roman" w:eastAsia="Times New Roman" w:hAnsi="Times New Roman"/>
                <w:color w:val="252525"/>
                <w:sz w:val="21"/>
                <w:szCs w:val="21"/>
                <w:highlight w:val="white"/>
                <w:rtl w:val="0"/>
              </w:rPr>
              <w:t xml:space="preserve">Multiple Choice Questions</w:t>
            </w:r>
            <w:r w:rsidDel="00000000" w:rsidR="00000000" w:rsidRPr="00000000">
              <w:rPr>
                <w:rtl w:val="0"/>
              </w:rPr>
            </w:r>
          </w:p>
          <w:p w:rsidR="00000000" w:rsidDel="00000000" w:rsidP="00000000" w:rsidRDefault="00000000" w:rsidRPr="00000000" w14:paraId="00000065">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9">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Performance Management and Appraisal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Chapter </w:t>
            </w:r>
            <w:r w:rsidDel="00000000" w:rsidR="00000000" w:rsidRPr="00000000">
              <w:rPr>
                <w:rFonts w:ascii="Times New Roman" w:cs="Times New Roman" w:eastAsia="Times New Roman" w:hAnsi="Times New Roman"/>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4</w:t>
              <w:br w:type="textWrapping"/>
              <w:br w:type="textWrapping"/>
              <w:t xml:space="preserve">Quiz: Ch  7</w:t>
              <w:br w:type="textWrapping"/>
              <w:br w:type="textWrapping"/>
              <w:t xml:space="preserve">Assignments: </w:t>
            </w:r>
            <w:r w:rsidDel="00000000" w:rsidR="00000000" w:rsidRPr="00000000">
              <w:rPr>
                <w:rFonts w:ascii="Times New Roman" w:cs="Times New Roman" w:eastAsia="Times New Roman" w:hAnsi="Times New Roman"/>
                <w:color w:val="252525"/>
                <w:sz w:val="21"/>
                <w:szCs w:val="21"/>
                <w:highlight w:val="white"/>
                <w:rtl w:val="0"/>
              </w:rPr>
              <w:t xml:space="preserve">Ch 7 HR Bloopers Multiple Choice Questions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1">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Training and Development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5</w:t>
              <w:br w:type="textWrapping"/>
              <w:br w:type="textWrapping"/>
              <w:t xml:space="preserve">Quiz: Ch  8</w:t>
              <w:br w:type="textWrapping"/>
              <w:br w:type="textWrapping"/>
              <w:t xml:space="preserve">Assignments: </w:t>
            </w:r>
            <w:r w:rsidDel="00000000" w:rsidR="00000000" w:rsidRPr="00000000">
              <w:rPr>
                <w:rFonts w:ascii="Times New Roman" w:cs="Times New Roman" w:eastAsia="Times New Roman" w:hAnsi="Times New Roman"/>
                <w:color w:val="252525"/>
                <w:sz w:val="21"/>
                <w:szCs w:val="21"/>
                <w:highlight w:val="white"/>
                <w:rtl w:val="0"/>
              </w:rPr>
              <w:t xml:space="preserve">Ch 8 HR Bloopers Multiple Choice Questions</w:t>
            </w:r>
            <w:r w:rsidDel="00000000" w:rsidR="00000000" w:rsidRPr="00000000">
              <w:rPr>
                <w:rtl w:val="0"/>
              </w:rPr>
            </w:r>
          </w:p>
        </w:tc>
      </w:tr>
      <w:tr>
        <w:trPr>
          <w:trHeight w:val="400"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7">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9">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Direct Financial Compensation (Core Compensation)</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br w:type="textWrapping"/>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Chapters 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6</w:t>
              <w:br w:type="textWrapping"/>
              <w:br w:type="textWrapping"/>
              <w:t xml:space="preserve">Quiz: Ch 9</w:t>
              <w:br w:type="textWrapping"/>
              <w:br w:type="textWrapping"/>
              <w:t xml:space="preserve">Assignments: </w:t>
            </w:r>
            <w:r w:rsidDel="00000000" w:rsidR="00000000" w:rsidRPr="00000000">
              <w:rPr>
                <w:rFonts w:ascii="Times New Roman" w:cs="Times New Roman" w:eastAsia="Times New Roman" w:hAnsi="Times New Roman"/>
                <w:color w:val="252525"/>
                <w:sz w:val="21"/>
                <w:szCs w:val="21"/>
                <w:highlight w:val="white"/>
                <w:rtl w:val="0"/>
              </w:rPr>
              <w:t xml:space="preserve">Ch 9  HR Bloopers Multiple Choice Questions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1">
            <w:pPr>
              <w:spacing w:after="0" w:line="240" w:lineRule="auto"/>
              <w:jc w:val="center"/>
              <w:rPr>
                <w:rFonts w:ascii="Times New Roman" w:cs="Times New Roman" w:eastAsia="Times New Roman" w:hAnsi="Times New Roman"/>
              </w:rPr>
            </w:pPr>
            <w:r w:rsidDel="00000000" w:rsidR="00000000" w:rsidRPr="00000000">
              <w:rPr>
                <w:rtl w:val="0"/>
              </w:rPr>
            </w:r>
          </w:p>
        </w:tc>
      </w:tr>
      <w:tr>
        <w:trPr>
          <w:trHeight w:val="105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Week 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br w:type="textWrapping"/>
              <w:t xml:space="preserve">Indirect Financial Compensation (Employee Benefits)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Chapters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7</w:t>
              <w:br w:type="textWrapping"/>
              <w:br w:type="textWrapping"/>
              <w:t xml:space="preserve">Quiz: Ch  10</w:t>
              <w:br w:type="textWrapping"/>
              <w:br w:type="textWrapping"/>
              <w:t xml:space="preserve">Assignments: </w:t>
            </w:r>
            <w:r w:rsidDel="00000000" w:rsidR="00000000" w:rsidRPr="00000000">
              <w:rPr>
                <w:color w:val="252525"/>
                <w:sz w:val="21"/>
                <w:szCs w:val="21"/>
                <w:highlight w:val="white"/>
                <w:rtl w:val="0"/>
              </w:rPr>
              <w:t xml:space="preserve">Ch 10  HR Bloopers Multiple Choice Questions</w:t>
            </w:r>
            <w:r w:rsidDel="00000000" w:rsidR="00000000" w:rsidRPr="00000000">
              <w:rPr>
                <w:rtl w:val="0"/>
              </w:rPr>
            </w:r>
          </w:p>
        </w:tc>
      </w:tr>
      <w:tr>
        <w:trPr>
          <w:trHeight w:val="320"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6">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7">
            <w:pPr>
              <w:spacing w:after="0" w:lineRule="auto"/>
              <w:jc w:val="center"/>
              <w:rPr>
                <w:rFonts w:ascii="Times New Roman" w:cs="Times New Roman" w:eastAsia="Times New Roman" w:hAnsi="Times New Roman"/>
                <w:sz w:val="24"/>
                <w:szCs w:val="24"/>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8">
            <w:pPr>
              <w:spacing w:after="0" w:before="0" w:line="240" w:lineRule="auto"/>
              <w:ind w:left="0" w:firstLine="0"/>
              <w:jc w:val="center"/>
              <w:rPr>
                <w:rFonts w:ascii="Times New Roman" w:cs="Times New Roman" w:eastAsia="Times New Roman" w:hAnsi="Times New Roman"/>
                <w:sz w:val="2"/>
                <w:szCs w:val="2"/>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9">
            <w:pPr>
              <w:spacing w:after="0" w:line="240" w:lineRule="auto"/>
              <w:jc w:val="center"/>
              <w:rPr>
                <w:rFonts w:ascii="Times New Roman" w:cs="Times New Roman" w:eastAsia="Times New Roman" w:hAnsi="Times New Roman"/>
                <w:shd w:fill="999999" w:val="clear"/>
              </w:rPr>
            </w:pPr>
            <w:r w:rsidDel="00000000" w:rsidR="00000000" w:rsidRPr="00000000">
              <w:rPr>
                <w:rtl w:val="0"/>
              </w:rPr>
            </w:r>
          </w:p>
        </w:tc>
      </w:tr>
      <w:tr>
        <w:trPr>
          <w:trHeight w:val="6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8</w:t>
            </w:r>
          </w:p>
          <w:p w:rsidR="00000000" w:rsidDel="00000000" w:rsidP="00000000" w:rsidRDefault="00000000" w:rsidRPr="00000000" w14:paraId="0000008B">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Labor Unions and Collective Bargaining </w:t>
              <w:br w:type="textWrapping"/>
              <w:br w:type="textWrapping"/>
              <w:t xml:space="preserve">Internal Employee Relations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Chapters 11, 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8</w:t>
              <w:br w:type="textWrapping"/>
              <w:br w:type="textWrapping"/>
              <w:t xml:space="preserve">Quiz: Ch   12</w:t>
              <w:br w:type="textWrapping"/>
              <w:br w:type="textWrapping"/>
              <w:t xml:space="preserve">Assignments:</w:t>
              <w:br w:type="textWrapping"/>
            </w:r>
            <w:r w:rsidDel="00000000" w:rsidR="00000000" w:rsidRPr="00000000">
              <w:rPr>
                <w:color w:val="252525"/>
                <w:sz w:val="21"/>
                <w:szCs w:val="21"/>
                <w:highlight w:val="white"/>
                <w:rtl w:val="0"/>
              </w:rPr>
              <w:t xml:space="preserve">Ch 11  HR Bloopers Multiple Choice Question</w:t>
            </w:r>
            <w:r w:rsidDel="00000000" w:rsidR="00000000" w:rsidRPr="00000000">
              <w:rPr>
                <w:rtl w:val="0"/>
              </w:rPr>
            </w:r>
          </w:p>
        </w:tc>
      </w:tr>
      <w:tr>
        <w:trPr>
          <w:trHeight w:val="240"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F">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0">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1">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2">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Week 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Employee Safety, Health, and Wellness </w:t>
              <w:br w:type="textWrapping"/>
              <w:br w:type="textWrapp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Chapters 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9</w:t>
              <w:br w:type="textWrapping"/>
              <w:br w:type="textWrapping"/>
              <w:t xml:space="preserve">Quiz: Ch  13 </w:t>
              <w:br w:type="textWrapping"/>
              <w:br w:type="textWrapping"/>
              <w:t xml:space="preserve">Assignments: </w:t>
            </w:r>
            <w:r w:rsidDel="00000000" w:rsidR="00000000" w:rsidRPr="00000000">
              <w:rPr>
                <w:color w:val="252525"/>
                <w:sz w:val="21"/>
                <w:szCs w:val="21"/>
                <w:shd w:fill="fcfcfc" w:val="clear"/>
                <w:rtl w:val="0"/>
              </w:rPr>
              <w:t xml:space="preserve">Ch 13 HR Bloopers Multiple Choice Questions</w:t>
            </w:r>
            <w:r w:rsidDel="00000000" w:rsidR="00000000" w:rsidRPr="00000000">
              <w:rPr>
                <w:rFonts w:ascii="Times New Roman" w:cs="Times New Roman" w:eastAsia="Times New Roman" w:hAnsi="Times New Roman"/>
                <w:rtl w:val="0"/>
              </w:rPr>
              <w:t xml:space="preserve"> </w:t>
            </w:r>
          </w:p>
        </w:tc>
      </w:tr>
      <w:tr>
        <w:trPr>
          <w:trHeight w:val="300" w:hRule="atLeast"/>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7">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8">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9">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A">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spacing w:after="0" w:lineRule="auto"/>
              <w:jc w:val="center"/>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4"/>
                <w:szCs w:val="24"/>
                <w:rtl w:val="0"/>
              </w:rPr>
              <w:t xml:space="preserve">Week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Global Human Resource Management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Chapters 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spacing w:after="0" w:line="240" w:lineRule="auto"/>
              <w:ind w:right="-4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Board 10</w:t>
              <w:br w:type="textWrapping"/>
              <w:br w:type="textWrapping"/>
              <w:t xml:space="preserve">Quiz: Ch  14</w:t>
              <w:br w:type="textWrapping"/>
              <w:br w:type="textWrapping"/>
              <w:t xml:space="preserve">Assignments: Ch 14 </w:t>
            </w:r>
            <w:r w:rsidDel="00000000" w:rsidR="00000000" w:rsidRPr="00000000">
              <w:rPr>
                <w:color w:val="252525"/>
                <w:sz w:val="21"/>
                <w:szCs w:val="21"/>
                <w:highlight w:val="white"/>
                <w:rtl w:val="0"/>
              </w:rPr>
              <w:t xml:space="preserve"> HR Bloopers Multiple Choice Question</w:t>
            </w:r>
            <w:r w:rsidDel="00000000" w:rsidR="00000000" w:rsidRPr="00000000">
              <w:rPr>
                <w:rtl w:val="0"/>
              </w:rPr>
            </w:r>
          </w:p>
        </w:tc>
      </w:tr>
      <w:tr>
        <w:trPr>
          <w:trHeight w:val="240"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F">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0">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1">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2">
            <w:pPr>
              <w:spacing w:after="0" w:line="240" w:lineRule="auto"/>
              <w:jc w:val="center"/>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3">
            <w:pPr>
              <w:spacing w:after="0" w:line="240"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Week 11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spacing w:after="0"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8"/>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7"/>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4"/>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9"/>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3"/>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2"/>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6"/>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5"/>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4"/>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0"/>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3"/>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ultej@linnbenton.edu" TargetMode="External"/><Relationship Id="rId7" Type="http://schemas.openxmlformats.org/officeDocument/2006/relationships/hyperlink" Target="https://linnbenton.zoom.us/j/91556140002"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