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Introduction to Fiction, ENG 104,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2:30-4:00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bookmarkStart w:colFirst="0" w:colLast="0" w:name="_gjdgxs" w:id="0"/>
      <w:bookmarkEnd w:id="0"/>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ENG 104</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40014</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T/R 1:00-2:20pm</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NSH 210</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widowControl w:val="0"/>
        <w:ind w:firstLine="720"/>
        <w:rPr>
          <w:rFonts w:ascii="Arial" w:cs="Arial" w:eastAsia="Arial" w:hAnsi="Arial"/>
        </w:rPr>
      </w:pPr>
      <w:r w:rsidDel="00000000" w:rsidR="00000000" w:rsidRPr="00000000">
        <w:rPr>
          <w:rFonts w:ascii="Arial" w:cs="Arial" w:eastAsia="Arial" w:hAnsi="Arial"/>
          <w:rtl w:val="0"/>
        </w:rPr>
        <w:t xml:space="preserve">Strongly suggested:  WR 121</w:t>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rFonts w:ascii="Arial" w:cs="Arial" w:eastAsia="Arial" w:hAnsi="Arial"/>
        </w:rPr>
      </w:pPr>
      <w:r w:rsidDel="00000000" w:rsidR="00000000" w:rsidRPr="00000000">
        <w:rPr>
          <w:rFonts w:ascii="Arial" w:cs="Arial" w:eastAsia="Arial" w:hAnsi="Arial"/>
          <w:rtl w:val="0"/>
        </w:rPr>
        <w:t xml:space="preserve">Examines fiction through selected literary works, such as the short story and the novel, and increases understanding of the conventions of fiction. Encourages exploration of the human experience through the reading of significant short stories and novels, with an emphasis on analysis, interpretation, and the fiction-writer’s craft.</w:t>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ind w:firstLine="720"/>
        <w:rPr>
          <w:rFonts w:ascii="Arial" w:cs="Arial" w:eastAsia="Arial" w:hAnsi="Arial"/>
        </w:rPr>
      </w:pPr>
      <w:r w:rsidDel="00000000" w:rsidR="00000000" w:rsidRPr="00000000">
        <w:rPr>
          <w:rFonts w:ascii="Arial" w:cs="Arial" w:eastAsia="Arial" w:hAnsi="Arial"/>
          <w:rtl w:val="0"/>
        </w:rPr>
        <w:t xml:space="preserve">Students who complete this course will be able to: </w:t>
      </w:r>
    </w:p>
    <w:p w:rsidR="00000000" w:rsidDel="00000000" w:rsidP="00000000" w:rsidRDefault="00000000" w:rsidRPr="00000000" w14:paraId="00000021">
      <w:pPr>
        <w:ind w:firstLine="720"/>
        <w:rPr>
          <w:rFonts w:ascii="Arial" w:cs="Arial" w:eastAsia="Arial" w:hAnsi="Arial"/>
        </w:rPr>
      </w:pPr>
      <w:r w:rsidDel="00000000" w:rsidR="00000000" w:rsidRPr="00000000">
        <w:rPr>
          <w:rFonts w:ascii="Arial" w:cs="Arial" w:eastAsia="Arial" w:hAnsi="Arial"/>
          <w:rtl w:val="0"/>
        </w:rPr>
        <w:t xml:space="preserve">● develop critical approaches in their reading of diverse literary texts. </w:t>
      </w:r>
    </w:p>
    <w:p w:rsidR="00000000" w:rsidDel="00000000" w:rsidP="00000000" w:rsidRDefault="00000000" w:rsidRPr="00000000" w14:paraId="00000022">
      <w:pPr>
        <w:ind w:firstLine="720"/>
        <w:rPr>
          <w:rFonts w:ascii="Arial" w:cs="Arial" w:eastAsia="Arial" w:hAnsi="Arial"/>
        </w:rPr>
      </w:pPr>
      <w:r w:rsidDel="00000000" w:rsidR="00000000" w:rsidRPr="00000000">
        <w:rPr>
          <w:rFonts w:ascii="Arial" w:cs="Arial" w:eastAsia="Arial" w:hAnsi="Arial"/>
          <w:rtl w:val="0"/>
        </w:rPr>
        <w:t xml:space="preserve">● identify and analyze the major elements of fiction: plot, setting, character, point of view, theme, and style. </w:t>
      </w:r>
    </w:p>
    <w:p w:rsidR="00000000" w:rsidDel="00000000" w:rsidP="00000000" w:rsidRDefault="00000000" w:rsidRPr="00000000" w14:paraId="00000023">
      <w:pPr>
        <w:ind w:firstLine="720"/>
        <w:rPr>
          <w:rFonts w:ascii="Arial" w:cs="Arial" w:eastAsia="Arial" w:hAnsi="Arial"/>
        </w:rPr>
      </w:pPr>
      <w:r w:rsidDel="00000000" w:rsidR="00000000" w:rsidRPr="00000000">
        <w:rPr>
          <w:rFonts w:ascii="Arial" w:cs="Arial" w:eastAsia="Arial" w:hAnsi="Arial"/>
          <w:rtl w:val="0"/>
        </w:rPr>
        <w:t xml:space="preserve">● use textual evidence to support analytical claims about fiction. </w:t>
      </w:r>
    </w:p>
    <w:p w:rsidR="00000000" w:rsidDel="00000000" w:rsidP="00000000" w:rsidRDefault="00000000" w:rsidRPr="00000000" w14:paraId="00000024">
      <w:pPr>
        <w:ind w:firstLine="720"/>
        <w:rPr>
          <w:rFonts w:ascii="Arial" w:cs="Arial" w:eastAsia="Arial" w:hAnsi="Arial"/>
        </w:rPr>
      </w:pPr>
      <w:r w:rsidDel="00000000" w:rsidR="00000000" w:rsidRPr="00000000">
        <w:rPr>
          <w:rFonts w:ascii="Arial" w:cs="Arial" w:eastAsia="Arial" w:hAnsi="Arial"/>
          <w:rtl w:val="0"/>
        </w:rPr>
        <w:t xml:space="preserve">● define and apply the major vocabulary terms associated with the study of fiction. </w:t>
      </w:r>
    </w:p>
    <w:p w:rsidR="00000000" w:rsidDel="00000000" w:rsidP="00000000" w:rsidRDefault="00000000" w:rsidRPr="00000000" w14:paraId="00000025">
      <w:pPr>
        <w:ind w:firstLine="720"/>
        <w:rPr>
          <w:rFonts w:ascii="Arial" w:cs="Arial" w:eastAsia="Arial" w:hAnsi="Arial"/>
        </w:rPr>
      </w:pPr>
      <w:r w:rsidDel="00000000" w:rsidR="00000000" w:rsidRPr="00000000">
        <w:rPr>
          <w:rFonts w:ascii="Arial" w:cs="Arial" w:eastAsia="Arial" w:hAnsi="Arial"/>
          <w:rtl w:val="0"/>
        </w:rPr>
        <w:t xml:space="preserve">● analyze and understand cultural, social, and aesthetic significance in literary texts. </w:t>
      </w:r>
    </w:p>
    <w:p w:rsidR="00000000" w:rsidDel="00000000" w:rsidP="00000000" w:rsidRDefault="00000000" w:rsidRPr="00000000" w14:paraId="00000026">
      <w:pPr>
        <w:ind w:firstLine="720"/>
        <w:rPr>
          <w:rFonts w:ascii="Arial" w:cs="Arial" w:eastAsia="Arial" w:hAnsi="Arial"/>
        </w:rPr>
      </w:pPr>
      <w:r w:rsidDel="00000000" w:rsidR="00000000" w:rsidRPr="00000000">
        <w:rPr>
          <w:rFonts w:ascii="Arial" w:cs="Arial" w:eastAsia="Arial" w:hAnsi="Arial"/>
          <w:rtl w:val="0"/>
        </w:rPr>
        <w:t xml:space="preserve">● reflect—orally and in writing—on their experiences reading fiction.</w:t>
      </w:r>
    </w:p>
    <w:p w:rsidR="00000000" w:rsidDel="00000000" w:rsidP="00000000" w:rsidRDefault="00000000" w:rsidRPr="00000000" w14:paraId="00000027">
      <w:pPr>
        <w:pStyle w:val="Heading1"/>
        <w:keepNext w:val="0"/>
        <w:keepLines w:val="0"/>
        <w:widowControl w:val="0"/>
        <w:rPr/>
      </w:pPr>
      <w:r w:rsidDel="00000000" w:rsidR="00000000" w:rsidRPr="00000000">
        <w:rPr>
          <w:rtl w:val="0"/>
        </w:rPr>
      </w:r>
    </w:p>
    <w:p w:rsidR="00000000" w:rsidDel="00000000" w:rsidP="00000000" w:rsidRDefault="00000000" w:rsidRPr="00000000" w14:paraId="00000028">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9">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D">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E">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F">
      <w:pPr>
        <w:pStyle w:val="Heading2"/>
        <w:keepNext w:val="0"/>
        <w:keepLines w:val="0"/>
        <w:widowControl w:val="0"/>
        <w:rPr/>
      </w:pPr>
      <w:r w:rsidDel="00000000" w:rsidR="00000000" w:rsidRPr="00000000">
        <w:rPr>
          <w:rtl w:val="0"/>
        </w:rPr>
      </w:r>
    </w:p>
    <w:p w:rsidR="00000000" w:rsidDel="00000000" w:rsidP="00000000" w:rsidRDefault="00000000" w:rsidRPr="00000000" w14:paraId="00000030">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31">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3">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34">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Weekly Feedback letter and summary response: </w:t>
        <w:tab/>
        <w:t xml:space="preserve">25 points each</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Final Capstone Essay</w:t>
        <w:tab/>
        <w:tab/>
        <w:tab/>
        <w:tab/>
        <w:tab/>
        <w:t xml:space="preserve">100 points</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3F">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0">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1">
      <w:pPr>
        <w:pStyle w:val="Heading1"/>
        <w:keepNext w:val="0"/>
        <w:keepLines w:val="0"/>
        <w:widowControl w:val="0"/>
        <w:rPr/>
      </w:pPr>
      <w:r w:rsidDel="00000000" w:rsidR="00000000" w:rsidRPr="00000000">
        <w:rPr>
          <w:rtl w:val="0"/>
        </w:rPr>
      </w:r>
    </w:p>
    <w:p w:rsidR="00000000" w:rsidDel="00000000" w:rsidP="00000000" w:rsidRDefault="00000000" w:rsidRPr="00000000" w14:paraId="00000042">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3">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4">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5">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6">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8">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9">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A">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B">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C">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8">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9">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F">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0">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1">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0">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2">
        <w:r w:rsidDel="00000000" w:rsidR="00000000" w:rsidRPr="00000000">
          <w:rPr>
            <w:rFonts w:ascii="Arial" w:cs="Arial" w:eastAsia="Arial" w:hAnsi="Arial"/>
            <w:color w:val="0070c0"/>
            <w:u w:val="single"/>
            <w:rtl w:val="0"/>
          </w:rPr>
          <w:t xml:space="preserve">public safety app</w:t>
        </w:r>
      </w:hyperlink>
      <w:hyperlink r:id="rId13">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2">
      <w:pPr>
        <w:pStyle w:val="Heading1"/>
        <w:keepNext w:val="0"/>
        <w:keepLines w:val="0"/>
        <w:widowControl w:val="0"/>
        <w:rPr/>
      </w:pPr>
      <w:r w:rsidDel="00000000" w:rsidR="00000000" w:rsidRPr="00000000">
        <w:rPr>
          <w:rtl w:val="0"/>
        </w:rPr>
      </w:r>
    </w:p>
    <w:p w:rsidR="00000000" w:rsidDel="00000000" w:rsidP="00000000" w:rsidRDefault="00000000" w:rsidRPr="00000000" w14:paraId="00000053">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4">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5">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9">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A">
      <w:pPr>
        <w:pStyle w:val="Heading1"/>
        <w:keepNext w:val="0"/>
        <w:keepLines w:val="0"/>
        <w:widowControl w:val="0"/>
        <w:rPr/>
      </w:pPr>
      <w:r w:rsidDel="00000000" w:rsidR="00000000" w:rsidRPr="00000000">
        <w:rPr>
          <w:rtl w:val="0"/>
        </w:rPr>
      </w:r>
    </w:p>
    <w:p w:rsidR="00000000" w:rsidDel="00000000" w:rsidP="00000000" w:rsidRDefault="00000000" w:rsidRPr="00000000" w14:paraId="0000005B">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C">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5E">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5F">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3">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Introduction</w:t>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Ray Bradbury:  The Veldt</w:t>
      </w:r>
    </w:p>
    <w:p w:rsidR="00000000" w:rsidDel="00000000" w:rsidP="00000000" w:rsidRDefault="00000000" w:rsidRPr="00000000" w14:paraId="0000006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Raymond Carver:  Cathedral</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Kate Chopin:  The Story of an Hour</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Charlotte Gilman:  The Yellow Wallpaper</w:t>
      </w:r>
    </w:p>
    <w:p w:rsidR="00000000" w:rsidDel="00000000" w:rsidP="00000000" w:rsidRDefault="00000000" w:rsidRPr="00000000" w14:paraId="0000006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D. H. Lawrence:  The Horse Dealer’s Daughter</w:t>
      </w:r>
    </w:p>
    <w:p w:rsidR="00000000" w:rsidDel="00000000" w:rsidP="00000000" w:rsidRDefault="00000000" w:rsidRPr="00000000" w14:paraId="0000006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Tim O’Brien: The Things They Carried</w:t>
      </w:r>
    </w:p>
    <w:p w:rsidR="00000000" w:rsidDel="00000000" w:rsidP="00000000" w:rsidRDefault="00000000" w:rsidRPr="00000000" w14:paraId="0000006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Ernest Hemingway:  Hills Like White Elephants</w:t>
      </w:r>
    </w:p>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Alice Walker:  Everyday Use</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Eudora Welty:  A Worn Path</w:t>
      </w:r>
    </w:p>
    <w:p w:rsidR="00000000" w:rsidDel="00000000" w:rsidP="00000000" w:rsidRDefault="00000000" w:rsidRPr="00000000" w14:paraId="0000006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Capstone Essay due Friday of Week 10</w:t>
      </w:r>
    </w:p>
    <w:p w:rsidR="00000000" w:rsidDel="00000000" w:rsidP="00000000" w:rsidRDefault="00000000" w:rsidRPr="00000000" w14:paraId="0000006F">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trHeight w:val="260" w:hRule="atLeast"/>
        </w:trPr>
        <w:tc>
          <w:tcPr/>
          <w:p w:rsidR="00000000" w:rsidDel="00000000" w:rsidP="00000000" w:rsidRDefault="00000000" w:rsidRPr="00000000" w14:paraId="00000070">
            <w:pPr>
              <w:pStyle w:val="Heading3"/>
              <w:jc w:val="center"/>
              <w:rPr>
                <w:rFonts w:ascii="Arial" w:cs="Arial" w:eastAsia="Arial" w:hAnsi="Arial"/>
              </w:rPr>
            </w:pPr>
            <w:r w:rsidDel="00000000" w:rsidR="00000000" w:rsidRPr="00000000">
              <w:rPr>
                <w:rFonts w:ascii="Arial" w:cs="Arial" w:eastAsia="Arial" w:hAnsi="Arial"/>
                <w:rtl w:val="0"/>
              </w:rPr>
              <w:t xml:space="preserve">W</w:t>
            </w:r>
            <w:bookmarkStart w:colFirst="0" w:colLast="0" w:name="30j0zll" w:id="1"/>
            <w:bookmarkEnd w:id="1"/>
            <w:r w:rsidDel="00000000" w:rsidR="00000000" w:rsidRPr="00000000">
              <w:rPr>
                <w:rFonts w:ascii="Arial" w:cs="Arial" w:eastAsia="Arial" w:hAnsi="Arial"/>
                <w:rtl w:val="0"/>
              </w:rPr>
              <w:t xml:space="preserve">eek</w:t>
            </w:r>
          </w:p>
        </w:tc>
        <w:tc>
          <w:tcPr/>
          <w:p w:rsidR="00000000" w:rsidDel="00000000" w:rsidP="00000000" w:rsidRDefault="00000000" w:rsidRPr="00000000" w14:paraId="00000071">
            <w:pPr>
              <w:pStyle w:val="Heading3"/>
              <w:rPr>
                <w:rFonts w:ascii="Arial" w:cs="Arial" w:eastAsia="Arial" w:hAnsi="Arial"/>
              </w:rPr>
            </w:pPr>
            <w:r w:rsidDel="00000000" w:rsidR="00000000" w:rsidRPr="00000000">
              <w:rPr>
                <w:rFonts w:ascii="Arial" w:cs="Arial" w:eastAsia="Arial" w:hAnsi="Arial"/>
                <w:rtl w:val="0"/>
              </w:rPr>
              <w:t xml:space="preserve">Readings</w:t>
            </w:r>
          </w:p>
        </w:tc>
        <w:tc>
          <w:tcPr/>
          <w:p w:rsidR="00000000" w:rsidDel="00000000" w:rsidP="00000000" w:rsidRDefault="00000000" w:rsidRPr="00000000" w14:paraId="00000072">
            <w:pPr>
              <w:pStyle w:val="Heading3"/>
              <w:rPr>
                <w:rFonts w:ascii="Arial" w:cs="Arial" w:eastAsia="Arial" w:hAnsi="Arial"/>
              </w:rPr>
            </w:pPr>
            <w:r w:rsidDel="00000000" w:rsidR="00000000" w:rsidRPr="00000000">
              <w:rPr>
                <w:rFonts w:ascii="Arial" w:cs="Arial" w:eastAsia="Arial" w:hAnsi="Arial"/>
                <w:rtl w:val="0"/>
              </w:rPr>
              <w:t xml:space="preserve">Activities</w:t>
            </w:r>
          </w:p>
        </w:tc>
        <w:tc>
          <w:tcPr/>
          <w:p w:rsidR="00000000" w:rsidDel="00000000" w:rsidP="00000000" w:rsidRDefault="00000000" w:rsidRPr="00000000" w14:paraId="00000073">
            <w:pPr>
              <w:pStyle w:val="Heading3"/>
              <w:rPr>
                <w:rFonts w:ascii="Arial" w:cs="Arial" w:eastAsia="Arial" w:hAnsi="Arial"/>
              </w:rPr>
            </w:pPr>
            <w:r w:rsidDel="00000000" w:rsidR="00000000" w:rsidRPr="00000000">
              <w:rPr>
                <w:rFonts w:ascii="Arial" w:cs="Arial" w:eastAsia="Arial" w:hAnsi="Arial"/>
                <w:rtl w:val="0"/>
              </w:rPr>
              <w:t xml:space="preserve">Due dates</w:t>
            </w:r>
          </w:p>
        </w:tc>
      </w:tr>
      <w:tr>
        <w:trPr>
          <w:trHeight w:val="260" w:hRule="atLeast"/>
        </w:trPr>
        <w:tc>
          <w:tcPr/>
          <w:p w:rsidR="00000000" w:rsidDel="00000000" w:rsidP="00000000" w:rsidRDefault="00000000" w:rsidRPr="00000000" w14:paraId="00000074">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w:t>
            </w:r>
          </w:p>
        </w:tc>
        <w:tc>
          <w:tcPr/>
          <w:p w:rsidR="00000000" w:rsidDel="00000000" w:rsidP="00000000" w:rsidRDefault="00000000" w:rsidRPr="00000000" w14:paraId="00000077">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tc>
      </w:tr>
      <w:tr>
        <w:trPr>
          <w:trHeight w:val="260" w:hRule="atLeast"/>
        </w:trPr>
        <w:tc>
          <w:tcPr/>
          <w:p w:rsidR="00000000" w:rsidDel="00000000" w:rsidP="00000000" w:rsidRDefault="00000000" w:rsidRPr="00000000" w14:paraId="00000079">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40" w:hRule="atLeast"/>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 </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83">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6">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7">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88">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8D">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6">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97">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A">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9B">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9C">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9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A1">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A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Tuesday: bio. or interview</w:t>
            </w:r>
          </w:p>
          <w:p w:rsidR="00000000" w:rsidDel="00000000" w:rsidP="00000000" w:rsidRDefault="00000000" w:rsidRPr="00000000" w14:paraId="000000A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Thursday: story</w:t>
            </w:r>
          </w:p>
        </w:tc>
        <w:tc>
          <w:tcPr/>
          <w:p w:rsidR="00000000" w:rsidDel="00000000" w:rsidP="00000000" w:rsidRDefault="00000000" w:rsidRPr="00000000" w14:paraId="000000A4">
            <w:pPr>
              <w:widowControl w:val="0"/>
              <w:rPr>
                <w:rFonts w:ascii="Arial" w:cs="Arial" w:eastAsia="Arial" w:hAnsi="Arial"/>
              </w:rPr>
            </w:pPr>
            <w:r w:rsidDel="00000000" w:rsidR="00000000" w:rsidRPr="00000000">
              <w:rPr>
                <w:rFonts w:ascii="Arial" w:cs="Arial" w:eastAsia="Arial" w:hAnsi="Arial"/>
                <w:rtl w:val="0"/>
              </w:rPr>
              <w:t xml:space="preserve">Seminar style group discussion</w:t>
            </w:r>
          </w:p>
        </w:tc>
        <w:tc>
          <w:tcPr/>
          <w:p w:rsidR="00000000" w:rsidDel="00000000" w:rsidP="00000000" w:rsidRDefault="00000000" w:rsidRPr="00000000" w14:paraId="000000A5">
            <w:pPr>
              <w:widowControl w:val="0"/>
              <w:rPr>
                <w:rFonts w:ascii="Arial" w:cs="Arial" w:eastAsia="Arial" w:hAnsi="Arial"/>
              </w:rPr>
            </w:pPr>
            <w:r w:rsidDel="00000000" w:rsidR="00000000" w:rsidRPr="00000000">
              <w:rPr>
                <w:rFonts w:ascii="Arial" w:cs="Arial" w:eastAsia="Arial" w:hAnsi="Arial"/>
                <w:rtl w:val="0"/>
              </w:rPr>
              <w:t xml:space="preserve">Thursday before class</w:t>
            </w:r>
          </w:p>
        </w:tc>
      </w:tr>
      <w:tr>
        <w:trPr>
          <w:trHeight w:val="260" w:hRule="atLeast"/>
        </w:trPr>
        <w:tc>
          <w:tcPr/>
          <w:p w:rsidR="00000000" w:rsidDel="00000000" w:rsidP="00000000" w:rsidRDefault="00000000" w:rsidRPr="00000000" w14:paraId="000000A6">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8">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A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AA">
      <w:pPr>
        <w:widowControl w:val="0"/>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http://lbccpublicsafety.mobapp.at/landing/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public-safety-emergency-planning"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hyperlink" Target="http://www.linnbenton.edu/cfar" TargetMode="External"/><Relationship Id="rId8" Type="http://schemas.openxmlformats.org/officeDocument/2006/relationships/hyperlink" Target="https://linnbenton-advocate.symplicity.com/public_report/index.php/pid07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