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Linn-Benton Community College, Machine Tool Technology Department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Course Syllabus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Print Reading</w:t>
      </w:r>
      <w:r w:rsidDel="00000000" w:rsidR="00000000" w:rsidRPr="00000000">
        <w:rPr>
          <w:sz w:val="24"/>
          <w:szCs w:val="24"/>
          <w:rtl w:val="0"/>
        </w:rPr>
        <w:t xml:space="preserve">: Metals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number: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MA3.431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Credits: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Required text: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Basic Blueprint Reading and Sketching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edition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Days, Hours: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Tuesday, 1:00 PM to 2:50 PM </w:t>
      </w:r>
    </w:p>
    <w:p w:rsidR="00000000" w:rsidDel="00000000" w:rsidP="00000000" w:rsidRDefault="00000000" w:rsidRPr="00000000" w14:paraId="00000009">
      <w:pPr>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IB 102</w:t>
      </w:r>
    </w:p>
    <w:p w:rsidR="00000000" w:rsidDel="00000000" w:rsidP="00000000" w:rsidRDefault="00000000" w:rsidRPr="00000000" w14:paraId="0000000A">
      <w:pPr>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B">
      <w:pPr>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Wednesday 4:00-5:00pm, Thursday 5:00-6:00pm, IB 111C</w:t>
        <w:tab/>
      </w:r>
    </w:p>
    <w:p w:rsidR="00000000" w:rsidDel="00000000" w:rsidP="00000000" w:rsidRDefault="00000000" w:rsidRPr="00000000" w14:paraId="0000000C">
      <w:pPr>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D">
      <w:pPr>
        <w:rPr>
          <w:sz w:val="24"/>
          <w:szCs w:val="24"/>
          <w:u w:val="single"/>
        </w:rPr>
      </w:pPr>
      <w:r w:rsidDel="00000000" w:rsidR="00000000" w:rsidRPr="00000000">
        <w:rPr>
          <w:sz w:val="24"/>
          <w:szCs w:val="24"/>
          <w:u w:val="single"/>
          <w:rtl w:val="0"/>
        </w:rPr>
        <w:t xml:space="preserve">Email address:</w:t>
      </w:r>
      <w:r w:rsidDel="00000000" w:rsidR="00000000" w:rsidRPr="00000000">
        <w:rPr>
          <w:sz w:val="24"/>
          <w:szCs w:val="24"/>
          <w:rtl w:val="0"/>
        </w:rPr>
        <w:t xml:space="preserve"> berryc@linnbenton.edu</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Catalog description: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course provides training and learning experiences in interpreting industrial prints.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learning outcomes: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successfully completing this course will have acquired the skills necessary to read prints and understand the terminology related to the machinist’s trade.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Learning activities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course will include lectures, reading / textbook assignments and tests.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Assessment tasks: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student’s progress will be evaluated as follows: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 participation 10%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Unit Assignments and quizzes 60%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Midterm Exam 10 %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Final exam 20%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content  </w:t>
      </w:r>
      <w:r w:rsidDel="00000000" w:rsidR="00000000" w:rsidRPr="00000000">
        <w:rPr>
          <w:sz w:val="24"/>
          <w:szCs w:val="24"/>
          <w:rtl w:val="0"/>
        </w:rPr>
        <w:t xml:space="preserve">(Subject to change at instructor's discretion)</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introductions and discuss students objectives, textbook information, the function of prints in the manufacturing environment and their importance, line types.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Pairs drawing exercise.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1 through 5.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Answer</w:t>
      </w:r>
      <w:r w:rsidDel="00000000" w:rsidR="00000000" w:rsidRPr="00000000">
        <w:rPr>
          <w:sz w:val="24"/>
          <w:szCs w:val="24"/>
          <w:u w:val="single"/>
          <w:rtl w:val="0"/>
        </w:rPr>
        <w:t xml:space="preserve"> BP-5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bookmarkStart w:colFirst="0" w:colLast="0" w:name="_hs2aogmxuafi" w:id="1"/>
      <w:bookmarkEnd w:id="1"/>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bookmarkStart w:colFirst="0" w:colLast="0" w:name="_x694wmo23k4p" w:id="2"/>
      <w:bookmarkEnd w:id="2"/>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6bpcytjnfjeb" w:id="3"/>
      <w:bookmarkEnd w:id="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Review homework, three view drawings, orthographic projection, first angle projections, arrangement of views, auxiliary views.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w:t>
      </w: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issing view exercise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6 </w:t>
      </w:r>
      <w:r w:rsidDel="00000000" w:rsidR="00000000" w:rsidRPr="00000000">
        <w:rPr>
          <w:sz w:val="24"/>
          <w:szCs w:val="24"/>
          <w:rtl w:val="0"/>
        </w:rPr>
        <w:t xml:space="preserve">through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8</w:t>
      </w:r>
      <w:r w:rsidDel="00000000" w:rsidR="00000000" w:rsidRPr="00000000">
        <w:rPr>
          <w:sz w:val="24"/>
          <w:szCs w:val="24"/>
          <w:rtl w:val="0"/>
        </w:rPr>
        <w:t xml:space="preserve">. </w:t>
      </w:r>
      <w:r w:rsidDel="00000000" w:rsidR="00000000" w:rsidRPr="00000000">
        <w:rPr>
          <w:sz w:val="24"/>
          <w:szCs w:val="24"/>
          <w:u w:val="single"/>
          <w:rtl w:val="0"/>
        </w:rPr>
        <w:t xml:space="preserve">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nswer </w:t>
      </w:r>
      <w:r w:rsidDel="00000000" w:rsidR="00000000" w:rsidRPr="00000000">
        <w:rPr>
          <w:sz w:val="24"/>
          <w:szCs w:val="24"/>
          <w:u w:val="single"/>
          <w:rtl w:val="0"/>
        </w:rPr>
        <w:t xml:space="preserve">BP-6A and BP-8B</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Geometric Dimensioning and Tolerancing (GD&amp;T), ASME 14.5 1994, views, size and location dimensions, dimensioning arcs, circles and cylinders.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w:t>
      </w: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issing view exercise.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9 through 12</w:t>
      </w:r>
      <w:r w:rsidDel="00000000" w:rsidR="00000000" w:rsidRPr="00000000">
        <w:rPr>
          <w:sz w:val="24"/>
          <w:szCs w:val="24"/>
          <w:rtl w:val="0"/>
        </w:rPr>
        <w:t xml:space="preserve">. </w:t>
      </w:r>
      <w:r w:rsidDel="00000000" w:rsidR="00000000" w:rsidRPr="00000000">
        <w:rPr>
          <w:sz w:val="24"/>
          <w:szCs w:val="24"/>
          <w:u w:val="single"/>
          <w:rtl w:val="0"/>
        </w:rPr>
        <w:t xml:space="preserve">An</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swer </w:t>
      </w:r>
      <w:r w:rsidDel="00000000" w:rsidR="00000000" w:rsidRPr="00000000">
        <w:rPr>
          <w:sz w:val="24"/>
          <w:szCs w:val="24"/>
          <w:u w:val="single"/>
          <w:rtl w:val="0"/>
        </w:rPr>
        <w:t xml:space="preserve">BP-11 and BP-12</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making machines that work, the roll of GD&amp;T with respect to functionality, dimensioning holes, tolerances.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w:t>
      </w:r>
      <w:r w:rsidDel="00000000" w:rsidR="00000000" w:rsidRPr="00000000">
        <w:rPr>
          <w:sz w:val="24"/>
          <w:szCs w:val="24"/>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 the polar to Cartesian coordinates feature of our calculator to determine locations for a bolt hole circle.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13 through 16</w:t>
      </w:r>
      <w:r w:rsidDel="00000000" w:rsidR="00000000" w:rsidRPr="00000000">
        <w:rPr>
          <w:sz w:val="24"/>
          <w:szCs w:val="24"/>
          <w:rtl w:val="0"/>
        </w:rPr>
        <w:t xml:space="preserve">. </w:t>
      </w:r>
      <w:r w:rsidDel="00000000" w:rsidR="00000000" w:rsidRPr="00000000">
        <w:rPr>
          <w:sz w:val="24"/>
          <w:szCs w:val="24"/>
          <w:u w:val="single"/>
          <w:rtl w:val="0"/>
        </w:rPr>
        <w:t xml:space="preserve">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nswer </w:t>
      </w:r>
      <w:r w:rsidDel="00000000" w:rsidR="00000000" w:rsidRPr="00000000">
        <w:rPr>
          <w:sz w:val="24"/>
          <w:szCs w:val="24"/>
          <w:u w:val="single"/>
          <w:rtl w:val="0"/>
        </w:rPr>
        <w:t xml:space="preserve">BP-14 and BP-16</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tolerances, classes of fits, threads.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w:t>
      </w:r>
      <w:r w:rsidDel="00000000" w:rsidR="00000000" w:rsidRPr="00000000">
        <w:rPr>
          <w:sz w:val="24"/>
          <w:szCs w:val="24"/>
          <w:rtl w:val="0"/>
        </w:rPr>
        <w:t xml:space="preserve">Bolt circle exercise 2</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Units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 through 19</w:t>
      </w:r>
      <w:r w:rsidDel="00000000" w:rsidR="00000000" w:rsidRPr="00000000">
        <w:rPr>
          <w:sz w:val="24"/>
          <w:szCs w:val="24"/>
          <w:rtl w:val="0"/>
        </w:rPr>
        <w:t xml:space="preserve">. </w:t>
      </w:r>
      <w:r w:rsidDel="00000000" w:rsidR="00000000" w:rsidRPr="00000000">
        <w:rPr>
          <w:sz w:val="24"/>
          <w:szCs w:val="24"/>
          <w:u w:val="single"/>
          <w:rtl w:val="0"/>
        </w:rPr>
        <w:t xml:space="preserve">A</w:t>
      </w:r>
      <w:r w:rsidDel="00000000" w:rsidR="00000000" w:rsidRPr="00000000">
        <w:rPr>
          <w:rFonts w:ascii="Calibri" w:cs="Calibri" w:eastAsia="Calibri" w:hAnsi="Calibri"/>
          <w:b w:val="0"/>
          <w:smallCaps w:val="0"/>
          <w:strike w:val="0"/>
          <w:color w:val="000000"/>
          <w:sz w:val="24"/>
          <w:szCs w:val="24"/>
          <w:u w:val="single"/>
          <w:shd w:fill="auto" w:val="clear"/>
          <w:vertAlign w:val="baseline"/>
          <w:rtl w:val="0"/>
        </w:rPr>
        <w:t xml:space="preserve">nswer </w:t>
      </w:r>
      <w:r w:rsidDel="00000000" w:rsidR="00000000" w:rsidRPr="00000000">
        <w:rPr>
          <w:sz w:val="24"/>
          <w:szCs w:val="24"/>
          <w:u w:val="single"/>
          <w:rtl w:val="0"/>
        </w:rPr>
        <w:t xml:space="preserve">BP-19</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surface roughness specifications, more on threads.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Midterm Exam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w:t>
      </w:r>
      <w:r w:rsidDel="00000000" w:rsidR="00000000" w:rsidRPr="00000000">
        <w:rPr>
          <w:sz w:val="24"/>
          <w:szCs w:val="24"/>
          <w:rtl w:val="0"/>
        </w:rPr>
        <w:t xml:space="preserve">: 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20 through 22</w:t>
      </w:r>
      <w:r w:rsidDel="00000000" w:rsidR="00000000" w:rsidRPr="00000000">
        <w:rPr>
          <w:sz w:val="24"/>
          <w:szCs w:val="24"/>
          <w:rtl w:val="0"/>
        </w:rPr>
        <w:t xml:space="preserve">. </w:t>
      </w:r>
      <w:r w:rsidDel="00000000" w:rsidR="00000000" w:rsidRPr="00000000">
        <w:rPr>
          <w:sz w:val="24"/>
          <w:szCs w:val="24"/>
          <w:u w:val="single"/>
          <w:rtl w:val="0"/>
        </w:rPr>
        <w:t xml:space="preserve">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nswer </w:t>
      </w:r>
      <w:r w:rsidDel="00000000" w:rsidR="00000000" w:rsidRPr="00000000">
        <w:rPr>
          <w:sz w:val="24"/>
          <w:szCs w:val="24"/>
          <w:u w:val="single"/>
          <w:rtl w:val="0"/>
        </w:rPr>
        <w:t xml:space="preserve">BP-22</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 the metric system, first angle projection, metric thread specifications.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using the conversion feature of our calculator for metric and conventional units.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23</w:t>
      </w:r>
      <w:r w:rsidDel="00000000" w:rsidR="00000000" w:rsidRPr="00000000">
        <w:rPr>
          <w:sz w:val="24"/>
          <w:szCs w:val="24"/>
          <w:rtl w:val="0"/>
        </w:rPr>
        <w:t xml:space="preserve"> through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r w:rsidDel="00000000" w:rsidR="00000000" w:rsidRPr="00000000">
        <w:rPr>
          <w:sz w:val="24"/>
          <w:szCs w:val="24"/>
          <w:rtl w:val="0"/>
        </w:rPr>
        <w:t xml:space="preserve">. </w:t>
      </w:r>
      <w:r w:rsidDel="00000000" w:rsidR="00000000" w:rsidRPr="00000000">
        <w:rPr>
          <w:sz w:val="24"/>
          <w:szCs w:val="24"/>
          <w:u w:val="single"/>
          <w:rtl w:val="0"/>
        </w:rPr>
        <w:t xml:space="preserve">Answer BP-25</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sectional views, making prints easier for the machinist to read.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missing view exercise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26</w:t>
      </w:r>
      <w:r w:rsidDel="00000000" w:rsidR="00000000" w:rsidRPr="00000000">
        <w:rPr>
          <w:sz w:val="24"/>
          <w:szCs w:val="24"/>
          <w:rtl w:val="0"/>
        </w:rPr>
        <w:t xml:space="preserve"> through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28</w:t>
      </w:r>
      <w:r w:rsidDel="00000000" w:rsidR="00000000" w:rsidRPr="00000000">
        <w:rPr>
          <w:sz w:val="24"/>
          <w:szCs w:val="24"/>
          <w:rtl w:val="0"/>
        </w:rPr>
        <w:t xml:space="preserve">. </w:t>
      </w:r>
      <w:r w:rsidDel="00000000" w:rsidR="00000000" w:rsidRPr="00000000">
        <w:rPr>
          <w:sz w:val="24"/>
          <w:szCs w:val="24"/>
          <w:u w:val="single"/>
          <w:rtl w:val="0"/>
        </w:rPr>
        <w:t xml:space="preserve">Answer BP-28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 Geometric Dimensioning and Tolerancing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“what it means” as a practical matter.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Unit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w:t>
      </w:r>
      <w:r w:rsidDel="00000000" w:rsidR="00000000" w:rsidRPr="00000000">
        <w:rPr>
          <w:sz w:val="24"/>
          <w:szCs w:val="24"/>
          <w:rtl w:val="0"/>
        </w:rPr>
        <w:t xml:space="preserve">. </w:t>
      </w:r>
      <w:r w:rsidDel="00000000" w:rsidR="00000000" w:rsidRPr="00000000">
        <w:rPr>
          <w:sz w:val="24"/>
          <w:szCs w:val="24"/>
          <w:u w:val="single"/>
          <w:rtl w:val="0"/>
        </w:rPr>
        <w:t xml:space="preserve">Answer BP-29</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10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 Computer Numerical Control technology (CNC).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a visit to the Machine Tool Technology Department for a CNC demonstration.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tudy for Final Exam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11 Final Exam</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Request for Special Needs or Accommodations</w:t>
      </w:r>
    </w:p>
    <w:p w:rsidR="00000000" w:rsidDel="00000000" w:rsidP="00000000" w:rsidRDefault="00000000" w:rsidRPr="00000000" w14:paraId="00000048">
      <w:pPr>
        <w:rPr>
          <w:sz w:val="24"/>
          <w:szCs w:val="24"/>
        </w:rPr>
      </w:pPr>
      <w:r w:rsidDel="00000000" w:rsidR="00000000" w:rsidRPr="00000000">
        <w:rPr>
          <w:sz w:val="24"/>
          <w:szCs w:val="24"/>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49">
      <w:pPr>
        <w:rPr>
          <w:sz w:val="24"/>
          <w:szCs w:val="24"/>
        </w:rPr>
      </w:pPr>
      <w:r w:rsidDel="00000000" w:rsidR="00000000" w:rsidRPr="00000000">
        <w:rPr>
          <w:sz w:val="24"/>
          <w:szCs w:val="24"/>
          <w:rtl w:val="0"/>
        </w:rPr>
        <w:t xml:space="preserve">LBCC Comprehensive Statement of Nondiscrimination</w:t>
      </w:r>
    </w:p>
    <w:p w:rsidR="00000000" w:rsidDel="00000000" w:rsidP="00000000" w:rsidRDefault="00000000" w:rsidRPr="00000000" w14:paraId="0000004A">
      <w:pPr>
        <w:rPr>
          <w:color w:val="1155cc"/>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6">
        <w:r w:rsidDel="00000000" w:rsidR="00000000" w:rsidRPr="00000000">
          <w:rPr>
            <w:color w:val="1155cc"/>
            <w:sz w:val="24"/>
            <w:szCs w:val="24"/>
            <w:u w:val="single"/>
            <w:rtl w:val="0"/>
          </w:rPr>
          <w:t xml:space="preserve">Board Policy BP-1015</w:t>
        </w:r>
      </w:hyperlink>
      <w:r w:rsidDel="00000000" w:rsidR="00000000" w:rsidRPr="00000000">
        <w:rPr>
          <w:sz w:val="24"/>
          <w:szCs w:val="24"/>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sz w:val="24"/>
          <w:szCs w:val="24"/>
          <w:u w:val="single"/>
          <w:rtl w:val="0"/>
        </w:rPr>
        <w:t xml:space="preserve">linnbenton-advocate.symplicity.com/public_report</w:t>
      </w:r>
    </w:p>
    <w:p w:rsidR="00000000" w:rsidDel="00000000" w:rsidP="00000000" w:rsidRDefault="00000000" w:rsidRPr="00000000" w14:paraId="0000004B">
      <w:pPr>
        <w:rPr>
          <w:sz w:val="24"/>
          <w:szCs w:val="24"/>
        </w:rPr>
      </w:pPr>
      <w:r w:rsidDel="00000000" w:rsidR="00000000" w:rsidRPr="00000000">
        <w:fldChar w:fldCharType="end"/>
      </w:r>
      <w:r w:rsidDel="00000000" w:rsidR="00000000" w:rsidRPr="00000000">
        <w:rPr>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541-917-4789.</w:t>
      </w:r>
    </w:p>
    <w:p w:rsidR="00000000" w:rsidDel="00000000" w:rsidP="00000000" w:rsidRDefault="00000000" w:rsidRPr="00000000" w14:paraId="0000004C">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16"/>
          <w:szCs w:val="16"/>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